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https://www.cnmc.es/expedientes/s015909</w:t>
      </w:r>
    </w:p>
    <w:p>
      <w:r>
        <w:t>Pages translated : 74</w:t>
      </w:r>
    </w:p>
    <w:p/>
    <w:p>
      <w:r>
        <w:rPr>
          <w:b/>
        </w:rPr>
        <w:t>[Pages 1–3]</w:t>
      </w:r>
    </w:p>
    <w:p>
      <w:r>
        <w:t xml:space="preserve">RESOLUTION (FILE S/0159/09, UNESA AND ASSOCIATES)  </w:t>
        <w:br/>
        <w:t xml:space="preserve">Council  </w:t>
        <w:br/>
        <w:t xml:space="preserve">Sirs:  </w:t>
        <w:br/>
        <w:t xml:space="preserve">Mr. Luis Berenguer Fuster, President  </w:t>
        <w:br/>
        <w:t xml:space="preserve">Ms. Pilar Sánchez Núñez, Vice President  </w:t>
        <w:br/>
        <w:t xml:space="preserve">Ms. María Jesús González López, Counselor  </w:t>
        <w:br/>
        <w:t xml:space="preserve">Ms. Inmaculada Gutiérrez Carrizo, Counselor  </w:t>
        <w:br/>
        <w:t xml:space="preserve">In Madrid, on May 13, 2011  </w:t>
        <w:br/>
        <w:t xml:space="preserve">The Council of the National Commission on Competition (CNC), with the composition stated above, and with Counselor Ms. Inmaculada Gutiérrez Carrizo as the Rapporteur, has issued this Resolution in the sanctioning file S/0159/09, UNESA AND ASSOCIATES, initiated by the DI of the CNC (DI) for alleged restrictive practices of competition prohibited under Article 1 of Law 15/2007, of July 3, on the Defense of Competition (LDC) and Article 101 of the Treaty on the Functioning of the European Union (TFEU).  </w:t>
        <w:br/>
        <w:t xml:space="preserve">FACTUAL BACKGROUND  </w:t>
        <w:br/>
        <w:t xml:space="preserve">1. On June 17, 2009, the Directorate of Investigation (hereinafter, DI) became aware, through the Association of Independent Energy Marketers (ACIE), of certain communications carried out by Iberdrola Distribución Eléctrica, S.A.U. and Endesa Distribución Eléctrica S.L.U. regarding their suspension of the telematic management of low voltage requests and the cessation of operations.  </w:t>
        <w:br/>
        <w:t xml:space="preserve">2. In light of this information, the DI of the National Commission on Competition (CNC) initiated, in accordance with the provisions of Article 49.2 of Law 15/2007, of July 3 (B.O.E. of the 7th), on the Defense of Competition (LDC), a reserved information (reference number DP 23/09) aimed at preliminarily determining the existence of circumstances justifying the initiation of a sanctioning file.  </w:t>
        <w:br/>
        <w:t xml:space="preserve">3. Within the framework of this reserved information, the DI became aware that similar communications to those of Iberdrola and Endesa were also made by Hidrocantábrico Distribución S.A.U., Unión Fenosa Distribución S.A. and E.On Distribución S.L.  </w:t>
        <w:br/>
        <w:t xml:space="preserve">4. On June 24, 2009, the DI decided, in accordance with the provisions of Article 49.1 of the aforementioned Law, to initiate a sanctioning file against Iberdrola Distribución Eléctrica, S.A.U., Endesa Distribución Eléctrica S.L.U., Hidrocantábrico Distribución S.A.U., Unión Fenosa Distribución S.A. and E.On Distribución S.L. for a possible infringement of Articles 1 of the LDC and 81 of the Treaty of the European Community, consisting of an agreement aimed at preventing, restricting or distorting competition in the national electricity supply market, particularly by hindering the management of customer transfers and the acquisition of customers by independent marketers at a critical moment for competition.  </w:t>
        <w:br/>
        <w:t xml:space="preserve">5. Likewise, the DI, pursuant to the provisions of Articles 54 of the LDC and 41 of the RDC, proposed to the Council of the National Commission on Competition the adoption of precautionary measures, agreed upon by Resolution of the Council on July 1, 2009 (MC/0003/09).  </w:t>
        <w:br/>
        <w:t xml:space="preserve">6. On July 1, 2009, a request for information was made to the General Directorate of Energy Policy and Mines of the Ministry of Industry, Tourism and Trade (MITyC), regarding the behaviors subject to the initiation of the file, to which a response was received on July 16, 2009.  </w:t>
        <w:br/>
        <w:t xml:space="preserve">7. On July 6, 2009, a letter from the Association FACUA-Consumers in Action (FACUA) was received at the CNC, informing of certain irregularities related to supplier changes, regarding the entry into force of the last resort supply, which is why this letter was incorporated into the reference file.  </w:t>
        <w:br/>
        <w:t xml:space="preserve">8. On July 13 and September 3, 2010, the admission of FACUA and the Association of Independent Electricity Marketers (ACIE), respectively, as interested parties in the procedure was agreed upon, a condition requested by the latter through a letter dated August 17, 2010.  </w:t>
        <w:br/>
        <w:t xml:space="preserve">9. On November 2, 2009, the Council of the CNC issued a Resolution in file S/0051/08 UNESA in which it considered that the administrative responsibility of UNESA could not be declared in the terms proposed by the DI regarding certain facts related to the filing of an appeal before the National Court requesting the precautionary suspension and annulment of the Additional Provision of Order ITC/3860/2007, of December 28. Furthermore, the Council urged the DI to investigate certain facts related to a prior understanding among the electricity companies associated with UNESA, namely, IBERDROLA, ENDESA, UNIÓN FENOSA, HIDROELÉCTRICA DE CANTABRICO and ENEL VIESGO.  </w:t>
        <w:br/>
        <w:t xml:space="preserve">10. On November 5 and 6, 2009, the CNC conducted, within the framework of reserved information DP 040/09, a home investigation at the headquarters of the Spanish Association of the Electric Industry (hereinafter, UNESA). This inspection was subject to an appeal (R/0030/09), which was inadmissible by the Council of the CNC by Resolution of December 14, 2009.  </w:t>
        <w:br/>
        <w:t xml:space="preserve">11. On December 17, 2009, the DI proceeded to return certain documentation collected in the aforementioned home investigation.  </w:t>
        <w:br/>
        <w:t xml:space="preserve">12. In light of the information gathered in this home investigation and in accordance with Article 29 of the RDC, on February 4, 2010, the initial initiation agreement was expanded to include UNESA, and its object was understood with respect to "a coordination strategy in the electricity sector aimed, among other things, at obstructing the change of electricity supplier." In the same expansion letter, UNESA was notified of the incorporation into the reference file of certain information obtained during the inspection carried out at its headquarters. On April 8, 2010, UNESA was notified of a new incorporation of information collected in the aforementioned home investigation (folio 3091).  </w:t>
        <w:br/>
        <w:t xml:space="preserve">13. On April 30, 2010, the Director of Investigation adopted an agreement to expand the initiation of the sanctioning file to Iberdrola S.A., Endesa S.A., E.On España S.L., Gas Natural SDG, S.A. and Hidroeléctrica del Cantábrico S.A. (folios 3425 and 3426).  </w:t>
        <w:br/>
        <w:t xml:space="preserve">14. In accordance with the provisions of Article 50.3 of the LDC, on May 5, 2010, the parties were notified of the Statement of Facts (hereinafter PCH).  </w:t>
        <w:br/>
        <w:t xml:space="preserve">15. On May 6, 2010, Iberdrola S.A. filed an appeal against the agreement of the Director of Investigation by which the initiation in the reference file was expanded, an appeal that was inadmissible by the Council of the CNC on June 2, 2010.  </w:t>
        <w:br/>
        <w:t xml:space="preserve">16. On May 20 and June 1, 2010, the admission of the Organization of Consumers and Users (OCU) and Centrica, respectively, as interested parties in the procedure was agreed upon.  </w:t>
        <w:br/>
        <w:t xml:space="preserve">17. Between June 1 and 7, 2010, the CNC received the written allegations from the parties regarding the PCH.  </w:t>
        <w:br/>
        <w:t xml:space="preserve">18. On June 28, 2010, the report from the National Energy Commission (CNE) requested by the CNC, in accordance with Article 17.2 letter d) of the LDC, dated May 6, 2010, was entered into the CNC Registry.  </w:t>
        <w:br/>
        <w:t xml:space="preserve">19. On July 15, 16, and 20, new written allegations were submitted by Iberdrola S.A., Gas Natural SDG, S.A. and UNESA analyzing the content of the CNE report.  </w:t>
        <w:br/>
        <w:t xml:space="preserve">20. On July 19, 2010, a written allegation was received at the CNC from Centrica Energía S.L.U.  </w:t>
        <w:br/>
        <w:t xml:space="preserve">21. On July 20, 2010, the interested parties in the file were notified of the closure of the instruction phase.  </w:t>
        <w:br/>
        <w:t xml:space="preserve">22. On July 21, 2010, the return to UNESA of the two DVDs copied during the home investigation carried out at the association's headquarters on November 5 and 6, 2009, was made effective.  </w:t>
        <w:br/>
        <w:t xml:space="preserve">23. On July 21, 2010, a new written allegation was received at the CNC from Endesa, S.A. analyzing the content of the report issued by the CNE.  </w:t>
        <w:br/>
        <w:t>24. In accordance with the provisions of Article 50.4 of the LDC, on July 28, 2010, the DI proceeded to notify the Proposal for Resolution.</w:t>
      </w:r>
    </w:p>
    <w:p>
      <w:r>
        <w:rPr>
          <w:b/>
        </w:rPr>
        <w:t>[Pages 4–6]</w:t>
      </w:r>
    </w:p>
    <w:p>
      <w:r>
        <w:t xml:space="preserve">25. Throughout August 2010, allegations were received regarding the Proposal for Resolution from all the accused parties, some of whom requested evidence.  </w:t>
        <w:br/>
        <w:t xml:space="preserve">26. On August 18, 2010, ENDESA submitted new allegations aimed at providing the public version of the report published by the CNE titled: Informative file to analyze the causes that are causing delays in contracting supply with a retailer in the free market (22/7/2010).  </w:t>
        <w:br/>
        <w:t xml:space="preserve">27. Dated October 20, 2010, the Council issued an Agreement informing the parties that on that same date the Proposal for Resolution of the file had been sent to the European Commission in the terms indicated in Article 11.4 of Regulation EC 1/2003, and that on the same date and in compliance with Article 37.2.c) of Law 15/2007, the maximum period for resolving the file had been suspended until the European Commission responded to the information sent, or the period referred to in the aforementioned Article 11.4 of Regulation EC 1/2003 elapsed. After the 30-day period referred to in the last provision mentioned, by Agreement of November 24, 2010, and effective from November 22, 2010, the Council resolved to lift the suspension of the maximum period for resolving the reference file, which was notified to the parties.  </w:t>
        <w:br/>
        <w:t xml:space="preserve">28. By Agreement of December 22, 2010, the Council agreed to carry out certain evidence requested by the parties, denied others with justification, as well as the holding of a hearing and suspended the maximum period for resolving the file during the time in which the practice of the agreed evidence and complementary actions took place. In particular, at the request of a party, various documents have been incorporated into the file, an independent expert report has been included, a report has been requested from the MITyC to comment on certain aspects, and a copy of the standard contract mentioned in section 11 of the PCH has been requested ex officio.  </w:t>
        <w:br/>
        <w:t xml:space="preserve">29. By Agreement of January 26, 2011, once the documentation corresponding to the practice of the evidence was incorporated into the file and in accordance with the provisions of Article 36.2 RDC, a period of 10 days was granted to the interested parties for the assessment of the same.  </w:t>
        <w:br/>
        <w:t xml:space="preserve">30. After the deadline for submitting the evidence assessment expired, by Agreement of February 15, 2011, the Council lifted the suspension of the maximum period for resolution.  </w:t>
        <w:br/>
        <w:t xml:space="preserve">31. The Council of the CNC deliberated on the matter in various sessions and issued this Resolution on May 12, 2011.  </w:t>
        <w:br/>
        <w:t xml:space="preserve">32. The interested parties are:  </w:t>
        <w:br/>
        <w:t xml:space="preserve">- Spanish Association of the Electric Industry (UNESA)  </w:t>
        <w:br/>
        <w:t xml:space="preserve">- Iberdrola, S.A.  </w:t>
        <w:br/>
        <w:t xml:space="preserve">- Endesa, S.A.  </w:t>
        <w:br/>
        <w:t xml:space="preserve">- Hidroeléctrica del Cantábrico, S.A.  </w:t>
        <w:br/>
        <w:t xml:space="preserve">- Unión Fenosa Distribución, S.A.  </w:t>
        <w:br/>
        <w:t xml:space="preserve">- E.On España S.L.  </w:t>
        <w:br/>
        <w:t xml:space="preserve">- Association of Independent Energy Marketers (ACIE)  </w:t>
        <w:br/>
        <w:t xml:space="preserve">- FACUA-Consumers in Action  </w:t>
        <w:br/>
        <w:t xml:space="preserve">- Céntrica Energía S.L.U.  </w:t>
        <w:br/>
        <w:t xml:space="preserve">- Consumers and Users Organization (OCU)  </w:t>
        <w:br/>
        <w:t xml:space="preserve">PROVEN FACTS  </w:t>
        <w:br/>
        <w:t xml:space="preserve">1. THE PARTIES  </w:t>
        <w:br/>
        <w:t xml:space="preserve">1.1 ENDESA GROUP  </w:t>
        <w:br/>
        <w:t xml:space="preserve">The Endesa Group defines itself in its annual report as the leading company in the Spanish electricity sector. Its main business is the production, distribution, and marketing of electricity.  </w:t>
        <w:br/>
        <w:t xml:space="preserve">On February 21, 2009, Enel reached an agreement with Acciona for the purchase of all the shares it held in Endesa. Thus, Enel became the main shareholder of the Company, with 92.06 percent of its share capital.  </w:t>
        <w:br/>
        <w:t xml:space="preserve">The parent company of the group is Endesa, S.A., which carries out production activities through Endesa generación and electricity marketing through Endesa energía.  </w:t>
        <w:br/>
        <w:t xml:space="preserve">The distribution business was integrated into Endesa Red, which groups two companies: Endesa Distribución Eléctrica, S.L. and Endesa Operaciones y Servicios Comerciales, S.L. The former assumed the regulated activities of electricity transport and distribution, as well as tariff marketing. The latter develops commercial support activities for Endesa's energy companies.  </w:t>
        <w:br/>
        <w:t xml:space="preserve">According to its annual reports, Endesa's distribution network extends across 20 provinces in seven Autonomous Communities: Catalonia, Andalusia, Extremadura, Canary Islands, Balearic Islands, Aragon, and Castilla y León. With the disappearance of tariff supply as of April 1, 2009, “(…) For the territory covered by Endesa Distribución, Endesa Energía XXI, S.L. was designated as CUR, which has supplied and served 10.1 million customers since July 1, of which 9.9 million are residential customers.”  </w:t>
        <w:br/>
        <w:t xml:space="preserve">1.2 E.ON GROUP  </w:t>
        <w:br/>
        <w:t xml:space="preserve">E.ON España emerged in 2008 from the acquisition by the E.ON group of Viesgo and the Los Barrios and Tarragona plants, belonging to Endesa.  </w:t>
        <w:br/>
        <w:t xml:space="preserve">E.On España operates in the markets of electricity generation, distribution, and marketing, as well as last resort supply and is integrated into E.On AG, the parent company of the E.On Group based in Düsseldorf. E.On Distribución S.L. (E.On Distribución) is a company dedicated to the distribution of electricity, belonging to E.On España. E.ON Comercializadora de Último Recurso, S.L. is the company dedicated to last resort marketing in Spain.  </w:t>
        <w:br/>
        <w:t xml:space="preserve">E.ON España distributes electricity in the Autonomous Communities of Galicia, Asturias, Castilla y León, and Cantabria.  </w:t>
        <w:br/>
        <w:t xml:space="preserve">1.3 GAS NATURAL FENOSA GROUP  </w:t>
        <w:br/>
        <w:t xml:space="preserve">The Unión Fenosa Group has been developing different lines of business within the electricity market, such as production, distribution, and marketing. Unión Fenosa Distribución, S.A. is a commercial company whose capital was 100% owned by Unión Fenosa S.A. and whose exclusive corporate purpose is the development of electricity transport and distribution activities. The supply of electricity to final customers was carried out by Unión Fenosa Comercial, S.L., a 100% subsidiary of Unión Fenosa S.A.  </w:t>
        <w:br/>
        <w:t xml:space="preserve">Unión Fenosa had a presence as an electricity distributor in Andalusia (Córdoba and Jaén), Castilla-La Mancha (the five provinces), Castilla y León (León, Segovia, Soria, Valladolid, and Zamora), Extremadura (Badajoz), Galicia (the four provinces), and Madrid, although its presence in Córdoba, Badajoz, Soria, and Zamora is very limited.  </w:t>
        <w:br/>
        <w:t xml:space="preserve">On September 3, 2008, a notification regarding the acquisition by Gas Natural SDG, S.A. of exclusive control of Unión Fenosa, S.A. (Expte C/0098/08 GAS NATURAL/UNIÓN FENOSA) was received by the DI of the National Competition Commission, an operation whose approval was subject to commitments by Resolution of the CNC Council of February 11, 2009.  </w:t>
        <w:br/>
        <w:t xml:space="preserve">On September 4, 2009, the public deed of merger by absorption of the companies Unión Fenosa S.A. and Unión Fenosa Generación S.A. by Gas Natural SDG, S.A. was registered in the Commercial Registry, which has succeeded them in their rights and obligations.  </w:t>
        <w:br/>
        <w:t xml:space="preserve">The Resolution of May 20, 2009, of the Directorate General of Energy Policy and Mines, which authorizes the unification of the last resort marketing of natural gas and electricity of the Gas Natural SDG, S.A. group in the company Gas Natural S.U.R., S.A. establishes that “As of October 1, 2009, the company Gas Natural S.U.R., SDG, S.A., acquires the status of last resort electricity supplier that until that date was held by Unión Fenosa Metra, S.L., and will assume the rights and obligations established in the current regulations for last resort electricity suppliers.”  </w:t>
        <w:br/>
        <w:t xml:space="preserve">1.4 HIDROCANTÁBRICO GROUP  </w:t>
        <w:br/>
        <w:t xml:space="preserve">The Hidrocantábrico Group is formed by a group of companies primarily dedicated to the production, transport, distribution, and marketing of electricity.  </w:t>
        <w:br/>
        <w:t xml:space="preserve">Since 2006, the shareholding composition has remained constant, with the EDP Group being the majority shareholder with a 96.6% stake; the rest belongs to Cajastur (3.13%) and treasury shares.  </w:t>
        <w:br/>
        <w:t xml:space="preserve">Traditionally, it has operated electricity distribution networks in Asturias, which it has subsequently extended to new expanding areas in the provinces of Madrid, Alicante, and Valencia and has acquired some smaller distribution companies.  </w:t>
        <w:br/>
        <w:t>Hidroeléctrica del Cantábrico, S.A. develops the unregulated activity of electricity production or generation and is the parent company of the group. Hidrocantábrico Distribución Eléctrica, S.A.U. (Hidrocantábrico Distribución) is a company dedicated to the activities</w:t>
      </w:r>
    </w:p>
    <w:p>
      <w:r>
        <w:rPr>
          <w:b/>
        </w:rPr>
        <w:t>[Pages 7–9]</w:t>
      </w:r>
    </w:p>
    <w:p>
      <w:r>
        <w:t xml:space="preserve">regulated activities of distribution and transportation of electricity. For its part, Hidrocantábrico Energía, S.A.U. aims to carry out the unregulated activity of marketing and supply through contracts not subject to tariff. It is dependent on Hidrocantábrico Energía Último Recurso S.A.U. (HCUR).  </w:t>
        <w:br/>
        <w:t xml:space="preserve">1.5 IBERDROLA GROUP  </w:t>
        <w:br/>
        <w:t xml:space="preserve">Iberdrola, S.A. is the parent company of a group of companies that primarily operate in the electricity and gas sectors, both in Spain and in other countries. The Iberdrola Group develops various lines of business within the electricity market, such as production, distribution, and marketing. Iberdrola Distribución Eléctrica S.A. is the group company dedicated to the distribution of electricity. For its part, Iberdrola Comercialización de Último Recurso, S.A.U. has been operating since 2009 in the supply of last resort.  </w:t>
        <w:br/>
        <w:t xml:space="preserve">Iberdrola distributes electricity in 25 provinces across 10 different Autonomous Communities, primarily in the Autonomous Community of Valencia, Murcia, Madrid, Castilla-La Mancha, Castilla-León, Extremadura, País Vasco, La Rioja, and Navarra.  </w:t>
        <w:br/>
        <w:t xml:space="preserve">1.6 The Spanish Association of the Electric Industry (UNESA)  </w:t>
        <w:br/>
        <w:t xml:space="preserve">The Spanish Association of the Electric Industry is a professional sectoral organization for the coordination, representation, management, promotion, and defense of the interests of the associated electric companies, specifically Iberdrola, Endesa, Unión Fenosa (now Gas Natural Fenosa), Hidroeléctrica del Cantábrico, and E.On, thus encompassing the five major energy groups that have traditionally been present in all markets that make up the electricity sector in Spain.  </w:t>
        <w:br/>
        <w:t xml:space="preserve">The Association was established under Law 19/1977, of April 1, on the regulation of the right to union association and Royal Decree 873/1977, of April 22, on the deposit of the statutes of organizations established under Law 19/1977. It is governed by its Statutes and by the Operating Regulations that, where applicable, have been approved by the General Assembly.  </w:t>
        <w:br/>
        <w:t xml:space="preserve">As described on its website, the Association carries out the following specific functions:  </w:t>
        <w:br/>
        <w:t xml:space="preserve">- Institutional representation of the Electric Sector, defending the interests of the associated Companies before the Administration at all levels, as well as in European and international forums. In particular, UNESA represents its five members in the Electricity Advisory Council, an advisory body of the CNE.  </w:t>
        <w:br/>
        <w:t xml:space="preserve">- Monitoring or participating in the preparation of regulatory proposals.  </w:t>
        <w:br/>
        <w:t xml:space="preserve">- The exercise of all types of legal and judicial actions in representation of the interests of its members.  </w:t>
        <w:br/>
        <w:t xml:space="preserve">- The preparation of studies and reports ex officio, or at the request of its associates, on any matter related to its purposes.  </w:t>
        <w:br/>
        <w:t xml:space="preserve">- The preparation, maintenance, and dissemination of sectoral statistics on all aspects of electric activity.  </w:t>
        <w:br/>
        <w:t xml:space="preserve">- The dissemination among UNESA members of information and documentation deemed relevant regarding aspects of interest related to its purposes.  </w:t>
        <w:br/>
        <w:t xml:space="preserve">- The development of sectoral communication initiatives to promote dialogue in the Electric Sector with different social groups and to enhance the image of the sector in national and foreign media.  </w:t>
        <w:br/>
        <w:t xml:space="preserve">The governing bodies of UNESA are the General Assembly, the Board of Directors, the President, and, where applicable, the Vice President. The General Assembly is the supreme governing body, whose management is the responsibility of the Board of Directors. The Board of Directors is composed of high-level representatives from the parent companies of the group.  </w:t>
        <w:br/>
        <w:t xml:space="preserve">The internal organization of the Association is led by the Steering Committee, headed by the President of the Association. For the development of its associative activities, UNESA is organized around different intersectoral committees according to various specialized work areas (Regulatory Committee, Economic Committee, Legal Committee, Resources Committee, Communication Committee, etc.) in which representatives from the companies also participate. Working groups are also created to address more specific issues (for example, Information Exchange Working Group, Distribution Working Group). The coordination of the Committees and Working Groups is the responsibility of the Steering Committee, composed of representatives from all associated companies. Initiatives are adopted in the Committees, positions are taken on relevant issues, the interpretation of regulations is agreed upon, or the text of documents is established. Matters of significant importance are elevated to the Steering Committee and, in turn, may be submitted to the Board of Directors.  </w:t>
        <w:br/>
        <w:t xml:space="preserve">From the information in the file, it can be inferred that the degree of autonomy of UNESA is relatively low. There is abundant evidence that UNESA prepares documents at the request of its members, submits drafts for their consideration, and consensus is reached on positions before submission. Likewise, the hiring of external legal or technical services also requires the approval of its associates. In short, at least regarding aspects related to distribution and marketing, the initiatives adopted by UNESA are promoted and agreed upon by the five energy groups that comprise it.  </w:t>
        <w:br/>
        <w:t xml:space="preserve">1.7 The Association of Independent Energy Marketers (ACIE)  </w:t>
        <w:br/>
        <w:t xml:space="preserve">The Association of Independent Energy Marketers is an organization whose primary purpose is the development and promotion of the interests of electricity marketing companies within a liberalized system, as well as the defense of the legitimate economic, social, and legal interests of its associates (Article 2 of its Statutes). This association groups together companies dedicated to the supply of electricity without being vertically integrated.  </w:t>
        <w:br/>
        <w:t xml:space="preserve">The companies associated with ACIE are Nexus Energía S.A., Céntrica Energía S.L.U., Gas Natural Servicios, SDG, S.A., Electrabel España S.A., Elektrizitäts-Gesellschaft Laufenburg España S.L., Gas Natural Comercializadora S.A., Factor Energía S.A., Céntrica Energía Generación S.L.U., Hispaelec Energía S.A., and Atel Energía S.A.  </w:t>
        <w:br/>
        <w:t xml:space="preserve">1.8 FACUA-Consumers in Action  </w:t>
        <w:br/>
        <w:t xml:space="preserve">FACUA-Consumers in Action is a non-governmental organization, non-profit, dedicated since its inception in 1981 to the defense of consumer rights.  </w:t>
        <w:br/>
        <w:t xml:space="preserve">1.9 Association of Companies with High Energy Consumption (AEGE)  </w:t>
        <w:br/>
        <w:t xml:space="preserve">ACIE is an association created in 1981 by 40 industrial groups with high energy consumption (Cement, chemicals, metals, steel, industrial gases, paper). Its main objective is to represent their interests on energy issues.  </w:t>
        <w:br/>
        <w:t xml:space="preserve">2. REGULATORY FRAMEWORK  </w:t>
        <w:br/>
        <w:t xml:space="preserve">2.1. The liberalization process established by Law 54/1997  </w:t>
        <w:br/>
        <w:t xml:space="preserve">On November 28, 1997, Law 54/1997, of November 27, on the Electric Sector, was published in the Official State Bulletin, which establishes an electricity system that operates under the principles of objectivity, transparency, free competition, and entrepreneurial initiative, in accordance with Directive 96/92/EC of the European Parliament and of the Council of December 19, 1996, on common rules for the internal electricity market.  </w:t>
        <w:br/>
        <w:t xml:space="preserve">Broadly speaking, the foundations of the new legal framework regarding distribution and marketing are as follows:  </w:t>
        <w:br/>
        <w:t xml:space="preserve">- Transportation and distribution are developed under a monopoly regime subject to certain limits. Primarily, it is established that ownership of the networks does not guarantee their exclusive use and the foundations are laid to generalize and ensure third-party access to the networks by regulating access conditions and the remuneration of transportation and distribution activities.  </w:t>
        <w:br/>
        <w:t xml:space="preserve">- The principle of freedom of contracting and choice of supplier is adopted. The liberalization of the retail segment implies the development of marketing activity as distinct from distribution. Law 54/1997 established a timetable for the opening of the retail market (Transitional Provision Thirteenth), with a forecast of total eligibility for the year 2007. However, the Government progressively advanced these milestones. Specifically, Article 19.1 of Royal Decree-Law 6/2000, of June 23, on urgent measures to intensify competition in goods and services markets, advanced the liberalization timetable and established that, as of January 1, 2003, all electricity consumers would be considered qualified consumers and could, therefore, contract the purchase of electricity in the free market with any marketing companies they freely chose.  </w:t>
        <w:br/>
        <w:t xml:space="preserve">- In accordance with the above, legal separation between regulated and unregulated activities is established, and in particular, between distribution and marketing (Article 14 of Law 54/1997). Companies carrying out distribution activities (or any other regulated activity) must have as their exclusive corporate purpose the development of the same, without prejudice to the possibility of selling to consumers subject to a tariff recognized for distributors.  </w:t>
        <w:br/>
        <w:t>This liberalization process in the field of marketing was supported by various development regulations. Among others:</w:t>
      </w:r>
    </w:p>
    <w:p>
      <w:r>
        <w:rPr>
          <w:b/>
        </w:rPr>
        <w:t>[Pages 10–12]</w:t>
      </w:r>
    </w:p>
    <w:p>
      <w:r>
        <w:t xml:space="preserve">- Royal Decree 1955/2000, of December 1, which regulates the activities of transportation, distribution, marketing, supply, and authorization procedures for electricity installations. Article 70 of this Royal Decree defines this activity as that carried out by duly authorized marketing companies that, accessing the transportation or distribution networks, have the function of selling electricity to consumers who are qualified and to other qualified subjects according to current regulations. This Decree establishes in detail the rights and obligations of marketing subjects and qualified clients, as well as the process and requirements necessary to carry out the marketing activity.  </w:t>
        <w:br/>
        <w:t xml:space="preserve">- Royal Decree 1435/2002, of December 27, which regulates the basic conditions of contracts for the acquisition of energy and access to low-voltage networks. This regulation includes a series of measures aimed at ensuring the effective liberalization of electricity supply, since from January 1, 2003, all consumers could choose their supplier.  </w:t>
        <w:br/>
        <w:t xml:space="preserve">In its Article 79, it establishes that the contracting of supply at tariff and access to the networks will be formalized through a contract and that the competent Ministry will prepare standard supply and access contracts.  </w:t>
        <w:br/>
        <w:t xml:space="preserve">Among other aspects, RD 1435/2002 regulates the Supply Point Information System (SIPS). In its Article 7, paragraph one establishes that distribution companies must have a database referring to all supply points connected to their networks and to the transportation networks in their area, permanently updated, which must include at least a series of data specified. It adds that distribution companies must equip themselves with the necessary computer systems that allow for the consultation of data from the supply point registry and the electronic receipt and validation of requests and communications with consumers and electricity marketers. In its paragraph 3, it provides that marketers may access a series of data from the SIPS, in the manner and with the requirements established by regulation.  </w:t>
        <w:br/>
        <w:t xml:space="preserve">Since the beginning of liberalization, the SIPS has been considered a crucial asset in the success of the real liberalization of supply since the ability of marketing companies to compete efficiently in the retail supply market depends on access to this information related to customers. The ease of access to this information greatly influences the entry costs for marketers into the market. Hence, access to the SIPS has been addressed by regulation, which has also been subject to several reforms in an attempt to make this access more effective for third-party entrants.  </w:t>
        <w:br/>
        <w:t xml:space="preserve">Specifically, Article 7 was modified by Article 4 of Royal Decree 1454/2005, of December 2, which modifies certain provisions related to the electricity sector. This Royal Decree is the result of productivity enhancement measures included in the Council of Ministers Agreement of February 25, 2005, which within its mandates included the modification of Royal Decree 1435/2002 with the aim of “…thus avoiding obstacles to the transition of customers from the regulated market to the free market” and specifically contemplates, among other measures, “greater information to be disseminated by distribution companies.”  </w:t>
        <w:br/>
        <w:t xml:space="preserve">With this objective, in its Article 4.5, the modification of Article 7 of Royal Decree 1435/2002 is included. Specifically, the data accessible to the marketer is increased, the need for subsequent regulatory development is eliminated, as well as any mention of the establishment of access requirements, and the right of individuals to oppose the transfer of their data is enabled in paragraph 2 of Article 7, with its wording as follows:  </w:t>
        <w:br/>
        <w:t xml:space="preserve">“1. Distribution companies must have a database referring to all supply points connected to their networks and to the transportation networks in their area, permanently updated, which must include at least the following data:  </w:t>
        <w:br/>
        <w:t xml:space="preserve">a) Universal Supply Point Code.  </w:t>
        <w:br/>
        <w:t xml:space="preserve">b) Distribution company.  </w:t>
        <w:br/>
        <w:t xml:space="preserve">c) Location of the supply point.  </w:t>
        <w:br/>
        <w:t xml:space="preserve">d) Population of the supply point.  </w:t>
        <w:br/>
        <w:t xml:space="preserve">e) Province of the supply point.  </w:t>
        <w:br/>
        <w:t xml:space="preserve">f) Date of supply activation.  </w:t>
        <w:br/>
        <w:t xml:space="preserve">g) Current supply or access tariff.  </w:t>
        <w:br/>
        <w:t xml:space="preserve">h) Supply voltage.  </w:t>
        <w:br/>
        <w:t xml:space="preserve">i) Maximum power authorized by the bulletin of an authorized installer.  </w:t>
        <w:br/>
        <w:t xml:space="preserve">j) Maximum power authorized by the act of authorization for commissioning.  </w:t>
        <w:br/>
        <w:t xml:space="preserve">k) Type of medium point.  </w:t>
        <w:br/>
        <w:t xml:space="preserve">l) Availability of Power Control Switch.  </w:t>
        <w:br/>
        <w:t xml:space="preserve">m) Type of consumption profile.  </w:t>
        <w:br/>
        <w:t xml:space="preserve">n) Recognized extension rights.  </w:t>
        <w:br/>
        <w:t xml:space="preserve">ñ) Recognized access rights.  </w:t>
        <w:br/>
        <w:t xml:space="preserve">o) Ownership of the measuring equipment.  </w:t>
        <w:br/>
        <w:t xml:space="preserve">p) Ownership of Power Control Switch.  </w:t>
        <w:br/>
        <w:t xml:space="preserve">q) Contracted powers in each period.  </w:t>
        <w:br/>
        <w:t xml:space="preserve">r) Date of the last contracting movement for tariff purposes.  </w:t>
        <w:br/>
        <w:t xml:space="preserve">s) Date of the last change of marketer.  </w:t>
        <w:br/>
        <w:t xml:space="preserve">t) Deadline for recognized extension rights.  </w:t>
        <w:br/>
        <w:t xml:space="preserve">u) Consumption for the last two calendar years (by time discrimination periods and months).  </w:t>
        <w:br/>
        <w:t xml:space="preserve">v) Date of the last reading.  </w:t>
        <w:br/>
        <w:t xml:space="preserve">Distribution companies must equip themselves with the necessary computer systems that allow for the consultation of data from the supply point registry and the electronic receipt and validation of requests and communications with consumers and electricity marketers.  </w:t>
        <w:br/>
        <w:t xml:space="preserve">2. Consumers shall have the right to access their data contained in this registry free of charge. Likewise, marketers may access the data contained in the aforementioned registry free of charge. Notwithstanding the above, consumers may express in writing to the distributors their desire for their data not to be accessible to marketers.  </w:t>
        <w:br/>
        <w:t xml:space="preserve">3. Distributors with more than 10,000 customers must have telematic access systems to the databases referred to in this article within three months from the entry into force of this Royal Decree.”  </w:t>
        <w:br/>
        <w:t xml:space="preserve">Royal Decree 1435/2002, of December 27, modified by Royal Decree 1454/2005, of December 2, also regulates the procedures for changing suppliers. Article 4, relating to the duration of contracts and changes in contracting modality, provides in its third paragraph for the possibility of transitioning from supply tariff to access tariff, that is, the transition from regulated market to free market. Article 6, in its second and third paragraphs, establishes the deadlines that must be observed in cases of transition from supply tariff to access tariff and change of marketer. Article 8 of the same Royal Decree refers to the conditions, deadlines, means, and systems of communication for requests to modify the form of contracting. In particular, it establishes that distributors must respond to requests for modification of the form of contracting within five business days, communicating whether it is appropriate to grant such requests (for transition to the free market, for change of supplier…) or if there are objections that prevent their execution.  </w:t>
        <w:br/>
        <w:t xml:space="preserve">In accordance with this regulation, the CNE has standardized and predetermined in a document called “Process Flowcharts. Processes and Information Exchange Files” the formats and files in which communications between the marketer and the distributor must be developed, including communications related to the change of supplier (folios 3212-3273).  </w:t>
        <w:br/>
        <w:t xml:space="preserve">Thus, communications related to the supply to end customers in low voltage may correspond to various reasons or “processes,” each of which is distinguished by a predetermined alphanumeric code used by all companies. Ultimately, the regulation has established the deadlines, conditions, and means that must be observed in these change processes, and additionally, there has been a standardization of these processes supervised by the CNE itself.  </w:t>
        <w:br/>
        <w:t xml:space="preserve">2.2. The new liberalizing impetus of Law 17/2007  </w:t>
        <w:br/>
        <w:t>According to the aforementioned, since January 1, 2003, two systems of electricity supply have coexisted, as stated in Article 79.2 of Royal Decree 1955/2000, of December 1, since from the demand perspective, the</w:t>
      </w:r>
    </w:p>
    <w:p>
      <w:r>
        <w:rPr>
          <w:b/>
        </w:rPr>
        <w:t>[Pages 13–15]</w:t>
      </w:r>
    </w:p>
    <w:p>
      <w:r>
        <w:t xml:space="preserve">consumers could choose between supply at a regulated tariff with the distribution company or supply through a contract in the free market with a marketing company. In the first case, it was a price set by the Government, while in the second, it was a price freely agreed upon between the consumer and the marketing company. This price could not exceed the reference tariff, as otherwise, the consumer would choose to remain or return, if applicable, to the regulated market segment.  </w:t>
        <w:br/>
        <w:t xml:space="preserve">On the other hand, the activity of electricity distribution has had as its main objective, according to Article 36 of Royal Decree 1955/2000, both the transmission of energy from the transport network to the consumption point and supply at a tariff. While the former constitutes the activity of distribution proper, with the character of a natural monopoly, the latter has remained in the hands of distributors as long as customers have not exited to the market.  </w:t>
        <w:br/>
        <w:t xml:space="preserve">The formal recognition of the right to freely choose the electricity supplier has not been sufficient to achieve the material and effective liberalization of supply. It is a fact that after 2003, participation in the liberalized market grew at a moderate pace, and most customers, especially in Low Voltage, continued to be supplied at the distributors' tariff. Less than half of the energy supplied to large customers was marketed in the free market, and only 7% of the energy in the domestic segment was found in the liberalized market, according to data from the CNE's retail market supervision report. As this body cites in the report submitted to the CNC in the context of the present file:  </w:t>
        <w:br/>
        <w:t xml:space="preserve">“In the analyzed period, hardly any progress is recorded in the retail sub-markets of domestic-commercial consumers, where the entry of new competitors is virtually absent and established companies maintain high quotas. This situation is particularly serious in the electricity sector and responds only in part to temporary difficulties associated with the implementation of recent supplier change processes. The structure of the supply in these sub-markets continues to be characterized by significant levels of consumer loyalty to vertically integrated incumbents who, for historical reasons, have more and better access to information and physical assets and lower customer acquisition costs, due to their widespread presence in large territorial areas.”  </w:t>
        <w:br/>
        <w:t xml:space="preserve">Directive 2003/54/EC of the European Parliament and of the Council, of June 26, 2003, established new common rules to complete the Internal Electricity Market and repealed Directive 96/92/EC, introducing significant modifications.  </w:t>
        <w:br/>
        <w:t xml:space="preserve">Law 17/2007, of July 4, which amended Law 54/1997, of November 27, incorporates into the Spanish legal system those provisions contained in Directive 2003/54/EC that require a modification of the Electricity Sector Law.  </w:t>
        <w:br/>
        <w:t xml:space="preserve">This reform of Law 54/1997 has resulted in a substantial modification of the existing regulatory framework that aims to deepen the separation between regulated activities and liberalized activities required by the aforementioned Directive and ensure the supply of electricity to customers under market conditions.  </w:t>
        <w:br/>
        <w:t xml:space="preserve">In order to ensure, among other things, effective and non-discriminatory access to the networks of distributors, the configuration of the distribution activity is reformed. To this end, the Law provides that the activity of supply at a tariff ceases to be part of the distribution activity on January 1, 2009. From that date, supply would be exercised entirely by marketers in free competition, and electricity consumers would have to freely choose their supplier.  </w:t>
        <w:br/>
        <w:t xml:space="preserve">However, a progressive approach is adopted so that companies can adapt and ensure that appropriate measures and regimes are established to protect the interests of consumers and ensure that they have a real and effective right to choose their supplier. Thus, the Law provides that the supply at a tariff be maintained until January 1, 2009, and it is from this date that the Last Resort Tariff (TUR) is created, which are maximum prices established by the Administration for certain consumers, for whom electricity supply is conceived as a universal service, as contemplated by the Directive. According to the Law, this activity (last resort supply, hereinafter SUR) will be carried out by the marketing companies to which such obligation is imposed, who must carry out the activity with separated accounts, differentiated from the activity of free supply.  </w:t>
        <w:br/>
        <w:t xml:space="preserve">The Twenty-Fourth Additional Provision establishes the following regarding the SUR.  </w:t>
        <w:br/>
        <w:t xml:space="preserve">“From January 1, 2009, the comprehensive tariff system is abolished, establishing the last resort tariffs.  </w:t>
        <w:br/>
        <w:t xml:space="preserve">From January 1, 2010, only consumers with supplies in low voltage may remain under the last resort tariff.  </w:t>
        <w:br/>
        <w:t xml:space="preserve">From the year 2011, consumers of electricity whose contracted power is less than 50 kW may be eligible for last resort tariffs.  </w:t>
        <w:br/>
        <w:t xml:space="preserve">The Ministry of Industry, Tourism and Trade is authorized to modify the power limit established in the previous paragraph if market conditions regarding low voltage consumers recommend it.  </w:t>
        <w:br/>
        <w:t xml:space="preserve">Likewise, the Government may determine the prices that those consumers who temporarily do not have a valid supply contract with a marketer must pay.  </w:t>
        <w:br/>
        <w:t xml:space="preserve">The Government is empowered to advance the deadlines established in this additional provision.”  </w:t>
        <w:br/>
        <w:t xml:space="preserve">As a complement to the objective pursued by the Directive of effective and non-discriminatory access to the networks of distributors, the creation of the Supplier Change Office (OCS) is foreseen, an independent entity responsible for the supervision and, where appropriate, centralized management of communications and formal registration of changes of electricity supplier. The aforementioned OCS will have access to the databases of supply points of the companies for the exercise of its functions.  </w:t>
        <w:br/>
        <w:t xml:space="preserve">This legal reform aimed to substantially modify the content of the distribution activity to limit it to the transmission of electricity from the transport network, managed by Red Eléctrica Española, to the supply points, regardless of the marketing modality in the free market (last resort tariff –TUR- or negotiated price) to which the final consumer has adhered, to the management of distribution networks and to the management of the information system of supply points (SIPS).  </w:t>
        <w:br/>
        <w:t xml:space="preserve">To the extent that the SUR is carried out by certain marketers -the last resort marketers (CUR)- at a maximum price set by the Administration -the TUR- the coexistence, for a certain segment of consumers in low voltage, of two supply regimes occurs: supply at a regulated maximum tariff and supply at a price freely agreed upon between the parties, although both regimes are already part of the liberalized market.  </w:t>
        <w:br/>
        <w:t xml:space="preserve">Although the Law came into force the day after its publication in the Official State Gazette (it was published on July 5, 2007), important aspects of its regulatory development remained to be defined, such as the customers who could be eligible for the TUR, the identification of those operating as CUR, the determination of the TUR and the manner in which the transfer of customers to the SUR would be carried out.  </w:t>
        <w:br/>
        <w:t xml:space="preserve">2.3. Development of the SUR  </w:t>
        <w:br/>
        <w:t xml:space="preserve">2.3.1. Preparation of projects  </w:t>
        <w:br/>
        <w:t xml:space="preserve">The companies monitored and submitted observations on the Draft Law for the Transposition of the Directive. It is recorded in the minutes of the meeting of the Directors' Committee of May 17, 2006, that the five electricity companies opposed the SUR being offered by marketers (pages 2622-2624).  </w:t>
        <w:br/>
        <w:t xml:space="preserve">However, once Law 17/2007, of July 4, was published, it was legally endorsed that the SUR would be provided by marketers. The five electricity companies included the development of the SUR in their work agenda. In the document Sectoral Interest Matters of July 2007 prepared for the Directors' Committee, the following is stated:  </w:t>
        <w:br/>
        <w:t xml:space="preserve">“1. RD 871/2007, of June 29, revising the electricity tariff of July 1 (…)  </w:t>
        <w:br/>
        <w:t xml:space="preserve">- Furthermore, this R.D. establishes:  </w:t>
        <w:br/>
        <w:t xml:space="preserve">- Before 31/12/2007, a procedure for changing gas customers to the Last Resort Supplier will be implemented. SEDIGAS has already submitted a proposal to the Ministry for gas, so it is urgent that the electricity sector propose a solution.  </w:t>
        <w:br/>
        <w:t xml:space="preserve">For these matters, power guarantee and tariff methodology and supplier change procedure, UNESA should have respective agreed methodologies.”  </w:t>
        <w:br/>
        <w:t>The electricity companies within UNESA worked to reach a consensus on a proposal for the development model of the SUR (1041, 1097 and ss, 1252-1253, 1256, 1258-1260, 2001-2003, 2100) which was reflected in a document that outlines what, in the opinion of UNESA members, should be the essential elements of the model within the framework of the public consultation conducted by the CNE on this issue, and drafts were already available in February 2008:</w:t>
      </w:r>
    </w:p>
    <w:p>
      <w:r>
        <w:rPr>
          <w:b/>
        </w:rPr>
        <w:t>[Pages 16–18]</w:t>
      </w:r>
    </w:p>
    <w:p>
      <w:r>
        <w:t xml:space="preserve">“The proposal that is developed below is based on the following essential principles:  </w:t>
        <w:br/>
        <w:t xml:space="preserve">- The last resort supply is a risk-free activity.  </w:t>
        <w:br/>
        <w:t xml:space="preserve">- The last resort tariff must comply with the principles of sufficiency and additivity.  </w:t>
        <w:br/>
        <w:t xml:space="preserve">- The set of supplies eligible for this last resort supply must be as small as possible and, in no case, should it apply to supplies with contracted power exceeding 10kW.  </w:t>
        <w:br/>
        <w:t xml:space="preserve">- The last resort supplier must be the marketer belonging to the business group of the distribution company to which the supply is connected.  </w:t>
        <w:br/>
        <w:t xml:space="preserve">This proposal should be considered as a closed model and, therefore, not subject to partial adoption. If not, the model should be reanalyzed.”  </w:t>
        <w:br/>
        <w:t xml:space="preserve">The designation of the CUR was a repeatedly addressed issue (1252, 1256, 1259). Some operators expressed that it was risky to publicly defend the proposal to designate the marketer belonging to the business group of the distribution company to which the supply is connected as CUR (folio 1137). However, this position was nonetheless commonly adopted by the five electricity companies and defended in UNESA's documents.  </w:t>
        <w:br/>
        <w:t xml:space="preserve">There are emails in the file exchanged in September 2008 (folios 1657-1659) among the members of the Steering Committee that reveal that the Regulatory Committee had prepared a document to send to the Ministry on how to regulate the SUR, to which the companies made comments. In these emails, a company raised doubts about the advisability of being very proactive regarding the designation of the SUR to the marketer of the distributor's group. To which another responded, “Who should be the company in charge of the last resort is a matter that I considered closed once our CEOs decided in their last meeting that the most practical solution was for it to be a marketer from the business group of the distributor; therefore, reopening this issue will certainly prevent us from reaching any agreement, with consequent detriment to all.” (…) In short, I believe it is better to maintain the distributor's marketer according to the opinion of our CEOs and focus fundamentally on: a) that the universe of customers who can access the TUR is minimal (the proposal includes those under 10 kW, which is not bad) (...); b) that the marketer exercising the last resort has no type of risks or that they are minimized; c) to urgently send the sectoral proposal.”  </w:t>
        <w:br/>
        <w:t xml:space="preserve">This urgency is due to the fact that at that time the companies stated they did not know the direction of the regulatory proposal from the administration to orchestrate the transfer of customers to the SUR. In the memorandum of the Directors' Committee dated September 10, 2008, it states:  </w:t>
        <w:br/>
        <w:t xml:space="preserve">“1.- Pending matters  </w:t>
        <w:br/>
        <w:t xml:space="preserve">At this moment, the most significant issue is the Last Resort Supply.  </w:t>
        <w:br/>
        <w:t xml:space="preserve">In addition to all the conceptual problems such as the regulation of the last resort tariff and the definition of the last resort marketer, there are material problems, such as the adaptation of computer systems that require the essential regulatory developments to be published before the end of October.  </w:t>
        <w:br/>
        <w:t xml:space="preserve">Other key aspects are that the prices of the last resort tariff do not have the character of maximums for free marketing contracts and that the last resort supply does not affect the remuneration of the distribution activity.  </w:t>
        <w:br/>
        <w:t xml:space="preserve">The companies believe that all necessary efforts must be made for the last resort supply to come into effect on January 1, 2009.  </w:t>
        <w:br/>
        <w:t xml:space="preserve">There is also concern about the obligation to bill monthly, with the costs this entails. It would not be reasonable for this obligation not to be associated with the entry into force of the last resort supply; otherwise, it would force distributors to make changes in a matter that will cease to be their responsibility in very few months.  </w:t>
        <w:br/>
        <w:t xml:space="preserve">The Distribution Working Group is tasked with preparing a detailed report on the costs and revenues associated with this measure and possible adjustments that could mitigate them, such as maintaining correspondence every two months…”  </w:t>
        <w:br/>
        <w:t xml:space="preserve">In the memorandum of the Regulatory Committee dated September 17, 2008, the draft note with proposals for the regulation of the SUR is discussed prior to sending it to the Directors' Committee for final approval. It is also agreed to convey to the administration the urgency for the development regulations to be approved as soon as possible (folio 1041). This Directors' Committee meeting took place on November 3, 2008.  </w:t>
        <w:br/>
        <w:t xml:space="preserve">In November, a Draft Royal Decree was received to implement the Last Resort Supply and a Proposal for Ministerial Order establishing the conditions for Last Resort Supply and the mechanism for transferring customers from the tariff to the SUR of electricity. These documents were reviewed by the Electricity Advisory Council convened on November 25, 2008 (folio 1707). A proposal for a Royal Decree regulating the Supplier Change Office was also received (folio 1856).  </w:t>
        <w:br/>
        <w:t xml:space="preserve">There is a note in the file prepared by UNESA dated 12/11/2008 summarizing the first two regulatory proposals, RD and OM (folios 2096-2099):  </w:t>
        <w:br/>
        <w:t xml:space="preserve">- CUR is designated to Endesa, Iberdrola, Unión Fenosa, Hidrocantábrico, and E.ON. The designation will be reviewed at least every four years.  </w:t>
        <w:br/>
        <w:t xml:space="preserve">- The replacement of comprehensive tariffs by TUR will occur from July 1, 2009, for consumers with power equal to or less than 15 kW. From that date, consumers who have not chosen a marketer will be supplied by the CUR of the same business group as their distributor.  </w:t>
        <w:br/>
        <w:t xml:space="preserve">- The mechanism begins to apply on January 1, 2009, with distributors informing customers with each bill about the new situation and facilitating access to information about the various available marketing companies. Before June 15, and through information attached to the bill, distributors will communicate to their customers who have not opted for a marketer the CUR to which they will be transferred. CURs must formalize contracts before July 1, with tariff contracts automatically extinguished on that date.  </w:t>
        <w:br/>
        <w:t xml:space="preserve">- Last resort consumers are considered consumers in a liberalized market for all purposes. The TUR, which has the character of a maximum price and will be reviewed quarterly automatically, will add the cost of production, the tolls, and the current marketing costs.  </w:t>
        <w:br/>
        <w:t xml:space="preserve">The companies reached a consensus within the Directors' Committee on their observations to these regulatory proposals for timely submission, before November 20, 2008 (folio 1699). Regarding the OM, they suggested, among other issues, that instead of requiring the CUR to formalize a contract before July 1, when the consumer is still within the period to choose, it should be established that, effective July 1, all supply contracts at tariff for those consumers who have not opted for any marketer would automatically extinguish, so that the CUR would succeed the distribution company.  </w:t>
        <w:br/>
        <w:t xml:space="preserve">In addition to this, the companies coordinated within the UNESA Distribution Working Group to send aggregated information on commercial management costs to the CNE. Specifically, in the Memorandum of the meeting of November 13, 2008, it is recorded [CONFIDENTIAL]. By email dated November 20, a note on commercial management costs was circulated to the companies with the following text (folio 1701, 2337):  </w:t>
        <w:br/>
        <w:t xml:space="preserve">“Dear friend:  </w:t>
        <w:br/>
        <w:t xml:space="preserve">I attach the draft note on commercial management costs that includes the information from 2007 recently provided to the CNE in Annex IV. The cost reductions due to the entry of the TUR are within the range agreed upon in the meeting.  </w:t>
        <w:br/>
        <w:t xml:space="preserve">However, one company has raised that what was agreed upon by the Directors' Committee referred to the costs of Form 26 of the CNE circulars, which are the ones that are audited. The calculation on these is significantly lower. This issue needs to be resolved before passing the note to the Directors' Committee.”  </w:t>
        <w:br/>
        <w:t>In the Memorandum of the Distribution Working Group dated March 12, 2009, it reflects that the companies prepared a list of issues related to the SUR in order to address them in specific meetings on the subject. It literally states: “Among the issues to be addressed, there is a majority that must be regulated and included in the order that develops the royal decree of the SUR. Others, fundamentally related to information exchange procedures, must be developed internally in the working group that exists in UNESA” (folio 1859, 2346). In the list of pending issues to be developed (1906, 1461, 1463), a total of 12 topics are included, among which are “1) Group entitled to TUR and start date”; “3) The periodicity of the bills.”</w:t>
      </w:r>
    </w:p>
    <w:p>
      <w:r>
        <w:rPr>
          <w:b/>
        </w:rPr>
        <w:t>[Pages 19–21]</w:t>
      </w:r>
    </w:p>
    <w:p>
      <w:r>
        <w:t xml:space="preserve">Billing monthly". "5) Mechanisms for transferring customers from the current tariff system to the new one". In the following weeks, meetings were held on these topics (folios 1447-1459, 2349).  </w:t>
        <w:br/>
        <w:t xml:space="preserve">Once the Royal Decree of the SUR was approved, proposals for the development of the Royal Decree were finalized within the Regulatory Committee and in an ad hoc group, particularly regarding the calculation of the TUR, its application conditions, and the transfer of customers to the SUR (Minutes of the Directors' Committee of April 16, 2009, folios 1339-1341, 1725). It is recorded in the file that these proposals were sent to the administration (emails of April 20, 2009, folio 1738). On April 27, 2009, the MITYC sent the CNE the proposal for an Order establishing the mechanism for transferring customers from the tariff market to the last resort supply of electricity and the calculation procedure and structure of the TUR for the CNE's report and the hearing procedure of the Electricity Advisory Council, both mandatory.  </w:t>
        <w:br/>
        <w:t xml:space="preserve">2.3.2. Royal Decree 485/2009, of April 3, regulating the implementation of the last resort supply in the electricity sector  </w:t>
        <w:br/>
        <w:t xml:space="preserve">The TUR is defined in Article 3.1 second paragraph of Royal Decree 485/2009, of April 3, as the maximum and minimum price that the CUR may charge consumers who opt for this tariff. In accordance with Article 18.1 LSE, it is an additive tariff and respects the principles of revenue sufficiency and non-distortion of competition.  </w:t>
        <w:br/>
        <w:t xml:space="preserve">The obligation of last resort energy supply is entrusted to five marketing companies (CUR) designated in Article 2 of Royal Decree 485/2009, each belonging to one of the five major business groups associated with UNESA, vertically integrated and therefore present in the various markets that make up the electricity sector (Endesa, Iberdrola, Unión Fenosa -Gas Natural group-, Hidrocantábrico, and E.on), although Article 3.4 of the aforementioned Royal Decree imposes on them the obligation to maintain separate accounts in their accounting.  </w:t>
        <w:br/>
        <w:t xml:space="preserve">Consumers entitled to opt for the TUR are, according to the eleventh additional provision of Royal Decree 485/2009, consumers of electricity connected at low voltage with a contracted power of less than or equal to 10 KW.  </w:t>
        <w:br/>
        <w:t xml:space="preserve">For those consumers who, without having the right to the SUR –high voltage consumers and low voltage consumers with a power greater than 10KW– do not contract the supply with a retailer, Article 3.2 of the same Royal Decree establishes the obligation for them to be supplied by the CUR of the business group owning the distribution network in the area where they are located. In these cases, the price that these consumers pay for the electricity consumed is not the TUR but includes a penalty that incentivizes the signing of the corresponding contract (regulated subsequently in the fourth and fifth transitional provisions of Order/ITC/1659/2009, of June 22).  </w:t>
        <w:br/>
        <w:t xml:space="preserve">Article 4 finally provided that as of July 1, those consumers with a valid contract in the tariff market who, on that date, had not voluntarily contracted the supply with a retailer or with a CUR would pass to the CUR of the distributor's group:  </w:t>
        <w:br/>
        <w:t xml:space="preserve">“1. As of July 1, 2009, consumers supplied by a distributor who have not opted to choose a marketing company will be supplied by a last resort marketer. This marketer will succeed the distribution company with the rights and obligations established in Article 45 of Law 54/1997, of November 27, on the Electricity Sector.  </w:t>
        <w:br/>
        <w:t xml:space="preserve">2. As of that date, consumers supplied by a distributor who have not opted to choose a marketing company will be supplied by the last resort marketer belonging to the business group of the distribution company in their area.”  </w:t>
        <w:br/>
        <w:t xml:space="preserve">According to Article 5.1 of Royal Decree 485/2009, of April 3, “for all purposes, consumers opting for the last resort tariff will be considered as consumers in the liberalized market.”  </w:t>
        <w:br/>
        <w:t xml:space="preserve">2.3.3. Order ITC/1659/2009, of June 22, establishing the mechanism for transferring customers from the market to tariff to the last resort supply of electricity and the calculation procedure and structure of last resort electricity tariffs  </w:t>
        <w:br/>
        <w:t xml:space="preserve">The mechanism for transferring customers from the market to tariff to the SUR was finally regulated as follows:  </w:t>
        <w:br/>
        <w:t xml:space="preserve">“Article 4. Formalization and adaptation of contracts.  </w:t>
        <w:br/>
        <w:t xml:space="preserve">1. On July 1, 2009, all supply contracts at tariff signed between distributors and consumers will be automatically considered extinguished.  </w:t>
        <w:br/>
        <w:t xml:space="preserve">2. Consumers will have the right to formalize the supply contract with a marketer, whether or not it is a last resort.  </w:t>
        <w:br/>
        <w:t xml:space="preserve">(...)  </w:t>
        <w:br/>
        <w:t xml:space="preserve">3. If before July 1, 2009, consumers have not proceeded to formalize a supply contract with a marketer, it will be automatically understood that they consent to be bound by the last resort marketer that corresponds to them according to the provisions of Article 4 of Royal Decree 485/2009, of April 3, with the last resort marketer subrogating in the supply obligation with the same technical parameters and data as the previous supply contract at tariff with the distributor. For these purposes, distribution companies must communicate before July 1, 2009, all the data of the tariff contracts signed with the customers that they transfer to the corresponding last resort marketers.”  </w:t>
        <w:br/>
        <w:t xml:space="preserve">3. PROVEN FACTS RELATED TO THE COORDINATION OF COMPANIES TO HINDER THE CHANGE OF MARKETER  </w:t>
        <w:br/>
        <w:t xml:space="preserve">In the context of monitoring the Draft Laws for the Transposition of Community Directives and the creation of the SUR, it is evident that the companies considered that the database linked to the supply points is a capital asset.  </w:t>
        <w:br/>
        <w:t xml:space="preserve">In the Minutes of the Directors' Committee of May 17, 2006, this was reflected. Unión Fenosa stated that “Moreover, it is a strategic activity [supply at tariff] that makes any other possibility inconvenient.” “Iberdrola considers that the supply database is a strategic issue that deserves a “gesture,” such as the one proposed in the draft of the Regulatory Committee, to try to preserve it” (folios 2622-2624).  </w:t>
        <w:br/>
        <w:t xml:space="preserve">This idea that the SUR constitutes a strategic activity is also expressed by the electricity companies in relation to gas. Thus, it is recorded in the minutes of the Directors' Committee of May 23, 2007, the following: [CONFIDENTIAL].  </w:t>
        <w:br/>
        <w:t xml:space="preserve">Precisely for this reason, Royal Decree 1435/2002, of December 27, amended by Royal Decree 1454/2005, regulated access to the SIPS to facilitate access to it for marketers. In turn, Law 17/2007, of July 4, reinforces the obligations to maintain the supply point databases and provides for the creation of the OCS.  </w:t>
        <w:br/>
        <w:t xml:space="preserve">However, access to the SIPS by third-party marketers was not being effective. This led to a series of complaints being filed by Centrica for violation of Law 16/1989 before the competition authority, which resulted in the initiation in early May 2007 of sanctioning proceedings against the distribution companies of the five main electricity groups for an abuse of dominant position consisting of denying Centrica unconditional and mass access to the SIPS.  </w:t>
        <w:br/>
        <w:t xml:space="preserve">In the Legal Committee of UNESA on May 22, 2007, Centrica's claim was discussed, and it was proposed to coordinate the defense arguments in that Committee and for each company to present its written statement (folio 1025). This was done in subsequent meetings (folios 1026-1029). It is noted in those minutes that access had been obtained to the CNE report in the sanctioning proceedings and that the CNE positively valued the so-called “mass access” to the data.  </w:t>
        <w:br/>
        <w:t xml:space="preserve">In the Memorandum of the Directors' Committee of May 23, 2007, it is recorded:  </w:t>
        <w:br/>
        <w:t xml:space="preserve">“6.4 Others  </w:t>
        <w:br/>
        <w:t xml:space="preserve">6.4.1. File of the Competition Services to the Distributors  </w:t>
        <w:br/>
        <w:t xml:space="preserve">In relation to the complaints made by Centrica, it is agreed that UNESA will not respond to any request from this entity.”  </w:t>
        <w:br/>
        <w:t xml:space="preserve">On the other hand, between May and December 2007, the five electricity companies agreed, within UNESA, on the data required from marketers to access the SIPS. The meetings in which coordination took place to determine the common validation criteria for the files as a requirement for access to the SIPS were as follows:  </w:t>
        <w:br/>
        <w:t xml:space="preserve">- Meeting of the working group for information exchange between agents on May 3, 2007 (folios 2625-2628):  </w:t>
        <w:br/>
        <w:t xml:space="preserve">“It is necessary to reconsider the validation criteria for the files, which will initially be the CUPS and the NIF or the CUPS and the contract code. The companies will send their comments on this matter to UNESA before the end of May.  </w:t>
        <w:br/>
        <w:t>ENDESA's proposal is to maintain the current criteria, which are fundamentally based on CUPS and NIF.”</w:t>
      </w:r>
    </w:p>
    <w:p>
      <w:r>
        <w:rPr>
          <w:b/>
        </w:rPr>
        <w:t>[Pages 22–24]</w:t>
      </w:r>
    </w:p>
    <w:p>
      <w:r>
        <w:t xml:space="preserve">- Draft of the Code of Conduct prepared by UNESA in September 2007 (folio 1958). It states that “to access the information of any supply point, it will be necessary to know the universal code of the supply point (CUPS) and that there is no written impediment from the consumer for marketers to access such information.”  </w:t>
        <w:br/>
        <w:t xml:space="preserve">- Meeting of the working group on information exchange between agents on December 4, 2007 (folios 2470-2473)  </w:t>
        <w:br/>
        <w:t xml:space="preserve">“4. Access to the Supply Point Registry: data to be validated.  </w:t>
        <w:br/>
        <w:t xml:space="preserve">Currently, distributors validate the data between CUPS, NIF-CIF, and contract code.  </w:t>
        <w:br/>
        <w:t xml:space="preserve">It is proposed to unify criteria and validate only the CUPS […]”  </w:t>
        <w:br/>
        <w:t xml:space="preserve">The Ministerial Order ITC/3860/2007, of December 28, which revises electricity tariffs as of January 1, 2008, introduced measures to facilitate access to the SIPS databases. As stated in its Preamble: “In order to facilitate access to these databases of supply points and to promote competition, the content of the registers is standardized while developing the conditions for their maintenance and access.” In its Third Additional Provision, this Order establishes:  </w:t>
        <w:br/>
        <w:t xml:space="preserve">(...)  </w:t>
        <w:br/>
        <w:t xml:space="preserve">“3. Distribution companies may not impose any conditions on the access and processing of these data by marketers or the Supplier Change Office, nor require in any case that they provide any data as a prerequisite for access to their database, including: the Universal Code of the Supply Point, CIF, NIF or NIE of the holder of said supply point or the current contract number of each specific supply point for which they wish to consult the database.  </w:t>
        <w:br/>
        <w:t xml:space="preserve">4. Distribution companies must guarantee access to the supply point databases through telematic means. In particular, distribution companies must have the necessary means so that any marketer or the Supplier Change Office can download and process the data related to all supply points connected to the distributor's networks and to the transport networks in their area, as well as carry out a detailed selection of the supply points regarding which they want to access their data, based on the different categories of data that make up the aforementioned databases.  </w:t>
        <w:br/>
        <w:t xml:space="preserve">(...)  </w:t>
        <w:br/>
        <w:t xml:space="preserve">The companies were informed of the project and were consulted about it in December 2007. Specifically, it was analyzed by the Electricity Advisory Council convened on December 17, 2007 (folios 2642 and 2644). The allegations to the project were coordinated within UNESA and expressed the joint position of the companies. Among other issues, it is argued that indiscriminate access without any type of validation violates the LOPD by providing data to third parties that can be used for other purposes. Aside from the legal allegations,  </w:t>
        <w:br/>
        <w:t xml:space="preserve">22  </w:t>
        <w:br/>
        <w:t xml:space="preserve">they consider that the operational impact of implementing these databases is very high and propose as an alternative that distribution companies periodically send the database to the marketing companies that request it, but without assuming the cost of developing systems for the management and maintenance of these databases. Such allegations were duly communicated to the administration, which therefore had the opportunity to assess the possible “illegality” of the Order.  </w:t>
        <w:br/>
        <w:t xml:space="preserve">Previously, on December 20, the CNE had issued its report 34/2007 on the proposed Order and addressed the objections to the project in view of the data protection regulations, reminding that, without prejudice to the establishment of the necessary safeguards, the transfer of data to marketers and the OCS is expressly imposed by a Law and that, to that extent, one of the exceptions provided for such purposes in Article 11.2 of the LOPD applies (folios 2764-2771).  </w:t>
        <w:br/>
        <w:t xml:space="preserve">On January 11, 2008, UNESA sent the draft of the appeal to the members of the Committee of Directors, which was discussed in the extraordinary meeting of said Committee held on January 14, 2008 (folio 950). In that meeting, a unanimous agreement was adopted to file an appeal against Order ITC/3860/2007, “given that this regulation does not take into account the possibility for the interested party to express their refusal to transfer data, thus violating both the LOPD and Royal Decree 1435/2002” (folios 2266-2268).  </w:t>
        <w:br/>
        <w:t xml:space="preserve">There are handwritten notes in the file reflecting a meeting that took place before the filing of the appeal, attended by representatives of the legal and regulatory departments of the companies (the attendees are identified in it). In these notes, it can be read (1304-1305, 2391-2410):  </w:t>
        <w:br/>
        <w:t xml:space="preserve">“HC asks what risk is run if the data is not delivered.  </w:t>
        <w:br/>
        <w:t xml:space="preserve">The one who must speak is the data protection agency, but it does not have the capacity to halt the OM.  </w:t>
        <w:br/>
        <w:t xml:space="preserve">(...)  </w:t>
        <w:br/>
        <w:t xml:space="preserve">Endesa suggests requesting consent from the clients.  </w:t>
        <w:br/>
        <w:t xml:space="preserve">Iberdrola asks if these actions could harm the current files.  </w:t>
        <w:br/>
        <w:t xml:space="preserve">It is agreed to prepare a draft consultation to the APD.  </w:t>
        <w:br/>
        <w:t xml:space="preserve">The management to the APD must be parallel to the appeal and the precautionary measure.  </w:t>
        <w:br/>
        <w:t xml:space="preserve">It is commented that it would be advisable for all marketers to make the request.  </w:t>
        <w:br/>
        <w:t xml:space="preserve">It would also be advisable to have refusals from clients to supply the data.  </w:t>
        <w:br/>
        <w:t xml:space="preserve">- The precautionary measure is presented.  </w:t>
        <w:br/>
        <w:t xml:space="preserve">- Each one must respond to the requests using the precautionary measure.  </w:t>
        <w:br/>
        <w:t xml:space="preserve">The OM is new regulation. It must be communicated company by company to the competition.”  </w:t>
        <w:br/>
        <w:t xml:space="preserve">23  </w:t>
        <w:br/>
        <w:t xml:space="preserve">On January 15, 2008, UNESA filed a contentious-administrative appeal against Order ITC/3860/2007, requesting the precautionary suspension of the third additional provision of the same (folios 951-956). This was reported in the Board of Directors meeting held on February 18, 2008, noting that such a decision received “the agreement of all.” The Board of Directors formally authorized the filing of the appeal.  </w:t>
        <w:br/>
        <w:t xml:space="preserve">On January 16, 2008, the National Court indicated that there was no basis to grant the precautionary suspension requested by UNESA. Subsequently, by Order of February 13, 2008, the National Court agreed to the precautionary suspension of the execution of Order ITC/3860/2007 (section 5 of the Third Additional Provision), regarding marketers, but maintaining its enforceability regarding the Supplier Change Office.  </w:t>
        <w:br/>
        <w:t xml:space="preserve">The Spanish Agency for Data Protection (AEPD) issued various reports, several of them at the request of the companies, pronouncing on the compatibility between the Third Additional Provision of the contested Order and the LOPD. It is recorded that some of these reports were issued as early as January 2008 (STS December 9, 2010).  </w:t>
        <w:br/>
        <w:t xml:space="preserve">There are handwritten notes in the file from a meeting held on February 12, 2008, attended by representatives of the companies (the attendees are identified in it) in which it can be read (folio 1306):  </w:t>
        <w:br/>
        <w:t xml:space="preserve">[CONFIDENTIAL]  </w:t>
        <w:br/>
        <w:t xml:space="preserve">On the other hand, the MITyC approved Order ITC/694/2008, of March 7, which explicitly included the same provision of Article 7.2 introduced by Royal Decree 1454/2005, the omission of which in Order ITC/3860/2007 was argued by UNESA as the basis for the appeal: “consumers may express in writing to the distributors their desire for their data not to be accessible to marketers.”  </w:t>
        <w:br/>
        <w:t xml:space="preserve">On May 12, 2008, the National Court lifted the suspension of the Third Additional Provision of Order ITC/3869/2007, of December 28, which it had agreed to on February 13.  </w:t>
        <w:br/>
        <w:t xml:space="preserve">Once the suspension of the Third Additional Provision was lifted, on June 13, 2008, UNESA filed a written demand in the judicial appeal filed, requesting that the nullity of sections 3 and 5 of the Third Additional Provision of Order ITC/3860/2007 be declared, for being contrary to Article 11 of the LOPD in connection with Article 41.1.m) and Article 45.2 of the Electric Sector Law, by virtue of the wording operated in these provisions by Law 17/2007.  </w:t>
        <w:br/>
        <w:t xml:space="preserve">There is a record of a prior email dated June 4, 2008, that Unión Fenosa sent to UNESA for distribution to all companies, stating the following (folios 1637-1639):  </w:t>
        <w:br/>
        <w:t>“In relation to UNESA's appeal regarding the mandatory transfer of the distributors' databases, at UNION FENOSA we have rethought the issue and I reaffirm my thesis that it is better to desist since we believe there is no doubt that the appeal has become moot (by making all the information available to marketers within fifteen days) and also there is</w:t>
      </w:r>
    </w:p>
    <w:p>
      <w:r>
        <w:rPr>
          <w:b/>
        </w:rPr>
        <w:t>[Pages 25–27]</w:t>
      </w:r>
    </w:p>
    <w:p>
      <w:r>
        <w:t xml:space="preserve">many possibilities, given the argument for lifting the precautionary measures, that we may lose and this could harm us in the open cases we have. I mention this last point because if UNESA's appeal is dismissed (as seems likely due to the lifting of the suspension), all the individual cases we have would be considered "judged" since, ultimately, the Judgment would indicate that the consent of the interested party is not necessary (as all electricity companies have required) for access by marketers to the distributors' database. This same conclusion would also be supported by the APD Report that is already in the records and which I believe is very difficult to ignore by the Court.  </w:t>
        <w:br/>
        <w:t xml:space="preserve">If this were to happen, in addition to giving significant backing to the CNC in its sanctioning procedures against us, it is obvious that it would severely limit our subsequent defense options.  </w:t>
        <w:br/>
        <w:t xml:space="preserve">For all these reasons, we believe it is better to withdraw the UNESA appeal with justification, with a clear explanation that in our opinion the consent of the interested party was necessary but that in light of the lifting of the precautionary measures and the transfer of data that has occurred in these fifteen days, the dispute has become moot.”  </w:t>
        <w:br/>
        <w:t xml:space="preserve">On June 11, 2008, UNESA circulated to the companies via email the text of the Legal Basis of the lawsuit to be filed. Unión Fenosa responded by email stating (page 1640):  </w:t>
        <w:br/>
        <w:t xml:space="preserve">“We are referring to ‘the need for express consent from the clients’ and this, in our opinion, could bring us great problems since we are providing the data without obtaining consent.  </w:t>
        <w:br/>
        <w:t xml:space="preserve">In my opinion, we should withdraw, as I already mentioned in my previous email, but in any case, we should not make any mention of the obligation to obtain the express permission of the client since any client, based on our own statements, could sue us/report us claiming that the RD already provided for this.”  </w:t>
        <w:br/>
        <w:t xml:space="preserve">However, the lawsuit was filed on June 13, 2008, as noted. The companies associated with UNESA themselves defended in the preparatory work of what later became Royal Decree 1011/2009, of June 19, which regulates the Supplier Change Office, that a provision with the same content as that which was the subject of the filed appeal be included (pages 1919-1923 and 1904 and 1904 bis). UNESA's comments on the proposal of the aforementioned Royal Decree, which literally reproduce the observations made by one of the distribution companies, stated the following: “It is necessary to include another additional provision that establishes the obligation of gas distributors to transfer, unconditionally, the databases to gas marketers and to the Supplier Change Office, in a manner similar to that provided in the Third Additional Provision of Ministerial Order ITC/3860/2007, of December 28, which revises electricity tariffs as of January 1, 2008, where this obligation is established in the electricity sector.  </w:t>
        <w:br/>
        <w:t xml:space="preserve">This aims to ensure that the treatment of the gas sector is similar to that afforded to the electricity sector in this matter.”  </w:t>
        <w:br/>
        <w:t xml:space="preserve">Contemporaneously with the filing of the lawsuit, the companies, by mutual agreement, were preparing their proposal on the development of the SUR. In this proposal, as referred to in section 2.3.1 of the Established Facts, the thesis is defended that the CUR should be designated to the marketer of the distributor's group and that this CUR will be the one to which the clients who have not decided to opt for another marketer by the date of the disappearance of the tariffs will be transferred.  </w:t>
        <w:br/>
        <w:t xml:space="preserve">Among the observations of UNESA subsequent to the draft OM of the transfer mechanism to the SUR that was circulated, it was stated “for the last resort marketer to take over the supply contracts at tariff on July 1, 2009, it must know the data of these contracts well in advance, so it is considered essential that the distributors send, at least provisionally, the necessary information with a minimum notice period of one month, so that the computer systems can be properly prepared and ensure the corresponding commercial processes.” This information, to which they referred later, was none other than that contained in the SIPS (pages 2028-2055). It is also noted that in the OM proposal that was sent to the General Directorate of Energy Policy and Mines of the MITyC (emails of April 20, 2009, pages 1738-1745) the following was indicated:  </w:t>
        <w:br/>
        <w:t xml:space="preserve">“1. Start of last resort supply.  </w:t>
        <w:br/>
        <w:t xml:space="preserve">1. Distributors must transfer to the corresponding last resort marketers all the necessary historical information about the supply points, in order to continue the service that they had under the regulated tariff. The last resort marketer will be exempt from future economic and tax responsibilities arising from the transfer of information. Specifically, the information to be sent will be that already provided for consultation in the Supply Points Information System that the distributor must make available to all marketers and users, as well as the personal data of the contract holders on the date of said transfer, including at least the name, NIF, supply, tax, and correspondence addresses, and the payment method, indicating, where applicable, the bank account details if the payment is direct debit.”  </w:t>
        <w:br/>
        <w:t xml:space="preserve">The obligation of the distribution companies to communicate the tariff contract data to the CUR before July 1 was reflected in the OM proposal circulated in April 2009 and finally included in the OM text in the following terms: “For these purposes, the distribution companies must communicate before July 1, 2009, all the data of the tariff contracts signed with the clients that are transferred to the corresponding last resort marketers.”  </w:t>
        <w:br/>
        <w:t xml:space="preserve">The judicial review bodies have already ruled in various judgments that the regulation of the SIPS is lawful (STS of December 9, 2010).  </w:t>
        <w:br/>
        <w:t xml:space="preserve">In relation to the implementation work of the SUR, it is noted in the minutes of the meeting of the working group on information exchange between agents of October 8, 2008 (pages 2498-2501) the following:  </w:t>
        <w:br/>
        <w:t xml:space="preserve">“7. Cut-off of operations in relation to the implementation of the SUR.  </w:t>
        <w:br/>
        <w:t xml:space="preserve">Two scenarios are proposed:  </w:t>
        <w:br/>
        <w:t xml:space="preserve">• Follow a deadline scheme similar to that used with the gas SUR.  </w:t>
        <w:br/>
        <w:t xml:space="preserve">• Continue with the usual operations and resolve situations as they arise.  </w:t>
        <w:br/>
        <w:t xml:space="preserve">Each company will send UNESA its proposal on this topic, including the deadlines to be applied, before October 20.”  </w:t>
        <w:br/>
        <w:t xml:space="preserve">Subsequently, a notice was circulated for the meeting of the working group on information exchange between agents on November 19, 2008 (page 1696) in the following terms:  </w:t>
        <w:br/>
        <w:t xml:space="preserve">“The agenda of the meeting of the Working Group on Information Exchange between agents to be held on November 19 at 10:30 a.m. at UNESA's offices is expanded to include the following points:  </w:t>
        <w:br/>
        <w:t xml:space="preserve">[…]  </w:t>
        <w:br/>
        <w:t xml:space="preserve">− Cut-off of operations in relation to the implementation of the SUR. (email from […] forwarded on 31/nov/08; email from […] forwarded on 24/oct/08). (Proposals for RD of TUR and OM for transition to the TUR).”  </w:t>
        <w:br/>
        <w:t xml:space="preserve">In the minutes of the meeting of the working group on information exchange between agents of January 14, 2009 (pages 2454-2457), it is noted that in light of the upcoming entry into force of the TUR, a meeting of the working group is called at UNESA's offices for February 11, 2009, to discuss, among other topics, the cut-off date for operations. In the minutes of that meeting, the following is recorded (pages 2587-2589):  </w:t>
        <w:br/>
        <w:t xml:space="preserve">“4. Various: Cut-off of operations.  </w:t>
        <w:br/>
        <w:t xml:space="preserve">Iberdrola plans to suspend operations from June 13 to July 6 except for direct cancellations and new connections. Endesa will cut off from June 20 to July 6, and hc-energía will do so from June 15 to July 2.  </w:t>
        <w:br/>
        <w:t xml:space="preserve">Distributors are requested to send UNESA the cut-off dates and the procedures and movements that will be affected.”  </w:t>
        <w:br/>
        <w:t xml:space="preserve">In the minutes of the meeting of the working group on information exchange between agents of March 4, 2009 (pages 2459-2463):  </w:t>
        <w:br/>
        <w:t xml:space="preserve">“3. Cut-off date for operations.  </w:t>
        <w:br/>
        <w:t>The dates planned by the distributors will be made available to all agents on UNESA's intranet (G.T. Formats) when Unión Fenosa informs the G.T. Secretariat of its forecasts.”</w:t>
      </w:r>
    </w:p>
    <w:p>
      <w:r>
        <w:rPr>
          <w:b/>
        </w:rPr>
        <w:t>[Pages 28–30]</w:t>
      </w:r>
    </w:p>
    <w:p>
      <w:r>
        <w:t xml:space="preserve">the minutes of the meeting of the working group for information exchange between agents dated May 20, 2009 (folios 2465-2468) it is recorded:  </w:t>
        <w:br/>
        <w:t xml:space="preserve">“2. Analysis of drafts of the TUR. Cut-off for non-payment. Termination of contracts, possible establishment of messaging between Marketers and CUR or sending of information in low files for CUR information.  </w:t>
        <w:br/>
        <w:t xml:space="preserve">It is considered necessary to protocol the transition of customers from the regulated market to last resort supply. Since several alternatives could be proposed, each agent is analyzing the one they consider most appropriate, pending the publication of the Ministerial Order that will develop the transition to SUR in July 2009. When the Ministerial Order is issued, and in any case no later than June 15, a proposal on the matter should be prepared. It is requested that the different agents send their various opinions to UNESA before June 1 so that UNESA can prepare a joint proposal.”  </w:t>
        <w:br/>
        <w:t xml:space="preserve">On June 10, 2009, the President of UNESA sent a letter to the Secretary of State for Energy with a copy to the Director General of Energy Policy and Mines informing about the problems posed by the entry into force of the SUR for the adaptation of computer systems, particularly that “the professionals in charge of these changes are about to exceed their capacity to respond and in some cases this has already occurred,” but does not announce the expected cut-offs or their dates (folio 527).  </w:t>
        <w:br/>
        <w:t xml:space="preserve">As recorded in the following table prepared by the DI, between June 8 and June 15, 2009, the five distribution companies sent individual emails to various marketers informing them that during a certain period of time, ranging from 12 to 24 days between June 12 and July 6, 2009, the management of certain requests in low voltage would be suspended (folios 8, 9, 21 to 23 and 27).  </w:t>
        <w:br/>
        <w:t xml:space="preserve">Iberdrola Endesa HC Unión Fenosa E.On  </w:t>
        <w:br/>
        <w:t xml:space="preserve">Date of  </w:t>
        <w:br/>
        <w:t xml:space="preserve">communication of the  </w:t>
        <w:br/>
        <w:t xml:space="preserve">suspension to the  </w:t>
        <w:br/>
        <w:t xml:space="preserve">marketers  </w:t>
        <w:br/>
        <w:t xml:space="preserve">(Depending on the type  </w:t>
        <w:br/>
        <w:t xml:space="preserve">of operation):  </w:t>
        <w:br/>
        <w:t xml:space="preserve">Planned suspension  </w:t>
        <w:br/>
        <w:t xml:space="preserve">period of  </w:t>
        <w:br/>
        <w:t xml:space="preserve">- June 12 - July 6  </w:t>
        <w:br/>
        <w:t xml:space="preserve">operations  </w:t>
        <w:br/>
        <w:t xml:space="preserve">- June 22 - July 3  </w:t>
        <w:br/>
        <w:t xml:space="preserve">- June 15 - no deadline  </w:t>
        <w:br/>
        <w:t xml:space="preserve">- June 12 - July 1  </w:t>
        <w:br/>
        <w:t xml:space="preserve">- June 15 - July 1  </w:t>
        <w:br/>
        <w:t xml:space="preserve">- June 19 - July 6  </w:t>
        <w:br/>
        <w:t xml:space="preserve">- Cut-off of  </w:t>
        <w:br/>
        <w:t xml:space="preserve">- Only admits processes  </w:t>
        <w:br/>
        <w:t xml:space="preserve">- Operations of operations in the  </w:t>
        <w:br/>
        <w:t xml:space="preserve">of change of  </w:t>
        <w:br/>
        <w:t xml:space="preserve">transfer to MR and low requests for low  </w:t>
        <w:br/>
        <w:t xml:space="preserve">marketer,  </w:t>
        <w:br/>
        <w:t xml:space="preserve">for reasons 02 and Management of requests modifications and for transfer to MR Rejection of  </w:t>
        <w:br/>
        <w:t xml:space="preserve">Affected operations 04 (end of low voltage contract except for final low - The rest of the rest of processes, among them, transfer from  </w:t>
        <w:br/>
        <w:t xml:space="preserve">energy and low for non-payment) - Requests from MR to ML and  </w:t>
        <w:br/>
        <w:t xml:space="preserve">transfer to ML changes of  </w:t>
        <w:br/>
        <w:t xml:space="preserve">marketer  </w:t>
        <w:br/>
        <w:t xml:space="preserve">Iberdrola Endesa HC Unión Fenosa E.On  </w:t>
        <w:br/>
        <w:t xml:space="preserve">Adaptation of the  </w:t>
        <w:br/>
        <w:t xml:space="preserve">Start of application Conversion of the  </w:t>
        <w:br/>
        <w:t xml:space="preserve">systems for the  </w:t>
        <w:br/>
        <w:t xml:space="preserve">Reason for the conversion of last resort tariffs Facilitate the transition in The migration processes conversion of tariffs tariffs to market tariffs  </w:t>
        <w:br/>
        <w:t xml:space="preserve">suspension resource and need of Endesa's systems to the CUR from MR to access tariffs regulated to access tariffs  </w:t>
        <w:br/>
        <w:t xml:space="preserve">to prepare the systems for the transition to SUR.  </w:t>
        <w:br/>
        <w:t xml:space="preserve">MR: regulated market  </w:t>
        <w:br/>
        <w:t xml:space="preserve">ML: free market  </w:t>
        <w:br/>
        <w:t xml:space="preserve">In accordance with the standardization of processes for information exchanges between  </w:t>
        <w:br/>
        <w:t xml:space="preserve">retailers and distributors as recorded in the file, the suspension affected,  </w:t>
        <w:br/>
        <w:t xml:space="preserve">in all cases except for Unión Fenosa, the requests for transition from regulated market  </w:t>
        <w:br/>
        <w:t xml:space="preserve">to free market with a free retailer:  </w:t>
        <w:br/>
        <w:t xml:space="preserve">- Iberdrola: “requests for transition to ML cannot be processed” (folio 8).  </w:t>
        <w:br/>
        <w:t xml:space="preserve">- Endesa: “suspend the management of Low Voltage requests […] EXCEPT for the TERMINATIONS DUE TO END OF ACTIVITY,” which therefore includes the transition from MR to ML (folio 9).  </w:t>
        <w:br/>
        <w:t xml:space="preserve">- Hidrocantábrico: “only processes for Changes of Retailer, Modifications, and Final Terminations will be accepted,” which therefore implies the non-acceptance of the transition from MR to ML (folio 21).  </w:t>
        <w:br/>
        <w:t xml:space="preserve">- Unión Fenosa: “there will be no cut-off in the rest of the processes: transitions from Regulated Market to Free (A1, A2, A3)” (folio 22).  </w:t>
        <w:br/>
        <w:t xml:space="preserve">- E.ON: “for processes A3 the deadline for processing requests in our Web Channel was June 15, 2009,” being process A3 a process of transition from MR to ML (folio 27).  </w:t>
        <w:br/>
        <w:t xml:space="preserve">After receiving these communications from the marketers, ACIE addressed Endesa, Iberdrola, and Hidrocantábrico, on June 17 and 23, 2009, to express their disagreement with this decision and request a rectification of the measures adopted (folios 2-7 and 24-26).  </w:t>
        <w:br/>
        <w:t xml:space="preserve">On June 17, Endesa replied to ACIE stating that the email referred to internal changes in commercial systems and was sent to ACIE by mistake since in no case would the processing of requests for transfer to the free market be suspended (folio 10).  </w:t>
        <w:br/>
        <w:t xml:space="preserve">For its part, Iberdrola responded to ACIE's letter on June 19 stating that the suspension referred to the management of requests through the web portal, although, “given the small volume we are talking about,” the affected marketers could send their requests by non-electronic means (regular mail, fax, and email) (folios 19 and 20).  </w:t>
        <w:br/>
        <w:t xml:space="preserve">In view of the above, the DI, by virtue of the provisions of Articles 54 of the LDC and 41 of the RDC, proposed to the Council of the National Competition Commission the adoption of precautionary measures. By Resolution of July 1, 2009, the Council of the CNC agreed:  </w:t>
        <w:br/>
        <w:t xml:space="preserve">“1st To provisionally order the cessation of the practices of suspending the management of requests for supplier change and the restoration of the normal functioning of this service by HIDROCANTABRICO, and to order the same measure for the companies ENDESA, IBERDROLA, UNION FENOSA, and EON, only in the event that such restoration had not been presented by them prior to the notification of this Resolution.  </w:t>
        <w:br/>
        <w:t xml:space="preserve">2nd To urge ENDESA, IBERDROLA, UNION FENOSA, and EON to refrain from obstructing in any way the telematic management activity in the electricity markets and especially those related to the change of supplier during the time that the processing of the file lasts.”  </w:t>
        <w:br/>
        <w:t xml:space="preserve">On July 20, 2009, the DI addressed the companies involved in the agreed precautionary measures, requesting the appropriate information to verify their effective compliance. Both Endesa, Unión Fenosa, and Iberdrola had restored their telematic supplier change services before the date of adoption of the resolution, July 1, 2009. That was, moreover, the date announced and subsequently confirmed on which E.on proceeded to said restoration. Hidrocantábrico attached to its letter a certificate issued on July 28, 2009, by a certain external company, which certifies the full availability and effective operability of the telematic accesses for supplier change ordered in the precautionary measure adopted.  </w:t>
        <w:br/>
        <w:t xml:space="preserve">4. PROVEN FACTS ABOUT THE STANDARD CONTRACT  </w:t>
        <w:br/>
        <w:t xml:space="preserve">In the meeting of the Distribution Working Group of UNESA, held on January 11, 2007, a point dedicated to “contract models” was included, indicating that [CONFIDENTIAL].” (folios 2634-2639).  </w:t>
        <w:br/>
        <w:t xml:space="preserve">On February 13, 2007, a communication was sent from UNESA to the heads of all associated companies under the subject title “Contract Models” informing of the following (folio 1326):  </w:t>
        <w:br/>
        <w:t xml:space="preserve">“On January 11, at the meeting of the Distribution Group of UNESA, the advisability of developing a common contract model for use by all electricity companies was raised, as well as the possibility of informing or not informing the Ministry about its existence.  </w:t>
        <w:br/>
        <w:t xml:space="preserve">I remind you that this issue was studied some time ago by the Legal Committee, and at that time three types of contracts were developed: tariffs, tolls, and energy purchase.  </w:t>
        <w:br/>
        <w:t xml:space="preserve">In this same meeting of the Distribution Group of UNESA, it was proposed that before consulting with the Committee of Directors, the Legal Committee analyze this issue, so I inform you that it will be addressed in the next meeting on February 21.”  </w:t>
        <w:br/>
        <w:t>The sixth point of the agenda of the Legal Committee meeting held on February 21, 2007, also referred to “standard contracts” and indicated that “an email sent on February 13, 2007, regarding contract models is attached.” According to the minutes of that meeting in</w:t>
      </w:r>
    </w:p>
    <w:p>
      <w:r>
        <w:rPr>
          <w:b/>
        </w:rPr>
        <w:t>[Pages 31–33]</w:t>
      </w:r>
    </w:p>
    <w:p>
      <w:r>
        <w:t>as for suppliers, and it requires a careful analysis of the conditions that must be established to ensure a smooth transition.”</w:t>
      </w:r>
    </w:p>
    <w:p>
      <w:r>
        <w:t>In this document, the companies proposed a series of criteria to facilitate bilateral contracts, emphasizing the need for a clear regulatory framework that would support the transition to a liberalized market. They highlighted the importance of establishing stable prices and conditions that would encourage large consumers to engage in long-term contracts with electricity suppliers.</w:t>
      </w:r>
    </w:p>
    <w:p>
      <w:r>
        <w:t xml:space="preserve">6.2. Impact of the Regulatory Changes on Large Consumers  </w:t>
        <w:br/>
        <w:t>The regulatory changes implemented in 2006 and 2007 had a significant impact on large consumers of electricity. The transition to a liberalized market meant that these consumers would no longer benefit from regulated tariffs, which had previously shielded them from market fluctuations.</w:t>
      </w:r>
    </w:p>
    <w:p>
      <w:r>
        <w:t>As a result, large consumers faced the challenge of negotiating new contracts under market conditions that were often volatile and unpredictable. The companies recognized that this shift could lead to increased costs for large consumers, which could, in turn, affect their competitiveness in the market.</w:t>
      </w:r>
    </w:p>
    <w:p>
      <w:r>
        <w:t>In light of these developments, UNESA and the electricity companies continued to engage in discussions with large consumers to address their concerns and to explore potential solutions that would mitigate the impact of the regulatory changes.</w:t>
      </w:r>
    </w:p>
    <w:p>
      <w:r>
        <w:t xml:space="preserve">6.3. Conclusion  </w:t>
        <w:br/>
        <w:t>The transition to a liberalized electricity market represented a significant shift in the regulatory landscape for large consumers. The discussions and proposals put forth by UNESA and the electricity companies aimed to facilitate this transition while addressing the concerns of large consumers regarding pricing and contract conditions.</w:t>
      </w:r>
    </w:p>
    <w:p>
      <w:r>
        <w:t>The ongoing negotiations and the development of bilateral contracts were seen as essential steps in ensuring that large consumers could adapt to the new market environment while maintaining their competitiveness.</w:t>
      </w:r>
    </w:p>
    <w:p>
      <w:r>
        <w:rPr>
          <w:b/>
        </w:rPr>
        <w:t>[Pages 34–36]</w:t>
      </w:r>
    </w:p>
    <w:p>
      <w:r>
        <w:t xml:space="preserve">for generators that requires efforts from both parties. In this sense, the companies of UNESA express their willingness to reach an agreement.  </w:t>
        <w:br/>
        <w:t xml:space="preserve">The content of the aforementioned document (folios 1159-1176) details a series of criteria to be considered in future electricity supplies:  </w:t>
        <w:br/>
        <w:t xml:space="preserve">The demand to be considered: types of customers that could be covered by the contracting modalities.  </w:t>
        <w:br/>
        <w:t xml:space="preserve">Offer that would participate: “the energy offer would materialize through a global agreement in which all generation under ordinary regime must participate […]”.  </w:t>
        <w:br/>
        <w:t xml:space="preserve">Contract duration: “[…] the contract would be established for a fixed term that could be five years until 2011 or another duration that may be agreed upon […]”.  </w:t>
        <w:br/>
        <w:t xml:space="preserve">Economic conditions:  </w:t>
        <w:br/>
        <w:t xml:space="preserve">- Energy price: “The price considered for energy could currently be estimated at around 55€/MWh […]. The initially set price must be indexed throughout the contract term taking into account certain parameters […]”.  </w:t>
        <w:br/>
        <w:t xml:space="preserve">- Access tariff: Again, cost estimates are made that allow for the identification of the minimum tariff to be regulated.  </w:t>
        <w:br/>
        <w:t xml:space="preserve">- Price of services to be provided to the system: “In a preliminary assessment, it is estimated that such services could be compensated at around 15€/MWh, which would be paid by the OS and recovered via the access tariff, thus leaving a net cost for consumers of around 40€/MWh”.  </w:t>
        <w:br/>
        <w:t xml:space="preserve">At the UNESA Board of Directors meeting on July 18, 2006 (folios 2923-2927), it was established, in relation to contracting with large customers, that “the Board of Directors agrees to establish a strategy that allows the tariffs applicable to them in Spain to disappear on July 1, 2007. To this end, they consider that the work in this regard must be expedited.  </w:t>
        <w:br/>
        <w:t xml:space="preserve">At the Management Committee meeting on September 18, 2006 (folios 2929-2950), the document “Proposal for Supply Conditions to Large Customers” prepared by UNESA and previously sent to the associated companies was discussed, the content of which reproduces that of the previous document on the criteria to be considered in bilateral contracting, prepared for the aforementioned meeting of June 15.  </w:t>
        <w:br/>
        <w:t xml:space="preserve">The minutes of the Board of Directors meeting on September 20, 2006 (folios 2951-2957) generally record the need for the disappearance of the tariff favoring bilateral contracting with large consumers. An annex titled “aspects to be addressed with the Administration” was attached to the minutes, indicating that to favor the disappearance of tariffs, a solution must be provided to large customers through bilateral contracting. For this, the different parties must make an effort and reach an agreement, particularly on three aspects:  </w:t>
        <w:br/>
        <w:t xml:space="preserve">“The volume of energy subject to the agreement. Between 10 and 30 TWh  </w:t>
        <w:br/>
        <w:t xml:space="preserve">- The average price of energy, around 60€/MWh, 55 for energy and approximately 5 for capacity guarantee.  </w:t>
        <w:br/>
        <w:t xml:space="preserve">- The contracting mechanism, establishing terms around 3 years”.  </w:t>
        <w:br/>
        <w:t xml:space="preserve">The minutes of the UNESA Board of Directors dated November 20, 2006 (folios 2961-2967) indicate that “the issue of bilateral contracting with large consumers and the terms under which it could be acceptable is noted, also indicating that this issue is not exclusive to UNESA companies but must extend to all electricity generation”.  </w:t>
        <w:br/>
        <w:t xml:space="preserve">In the note on “orderly transition from tariff to contract,” prepared by AEGE (folio 983), a “scheme for the meeting with UNESA on 31-10-06 following the one held by the Secretary General with AEGE and UNESA on 27-10-06” is established. AEGE understands that “the complexity of the contract advises initiating technical conversations between both parties […] but in any case, the objective must not be lost sight of, which is that the basic industry and the electricity sector contract with each other with mutual guarantees for the decision and return of their respective investments, which could even be interrelated”.  </w:t>
        <w:br/>
        <w:t xml:space="preserve">A proposal for actions UNESA-AEGE before the end of the year is also established, and a series of points to be specified are listed, among others, the base price (term, indexing, advance payment, and price range) and the purchase conditions.  </w:t>
        <w:br/>
        <w:t xml:space="preserve">On November 21, the President of AEGE addressed the President of UNESA in an email (folio 2968) under the subject “negotiation” to inform him that “for us, the only possible subdivision among consumers is whether they comply or not with the conditions and commitments to support the system, a formula that all AEGE associates have assumed and are willing to comply with.  </w:t>
        <w:br/>
        <w:t xml:space="preserve">Regarding price and term, we maintain 40€/MWh and 20 years, because in the substantive reasons nothing has changed since October 31”.  </w:t>
        <w:br/>
        <w:t xml:space="preserve">The Management Committee on December 4, 2006 (folios 2969-2973) records the existence of an ad hoc working group within UNESA regarding the issue of large customers that reports to said Management Committee.  </w:t>
        <w:br/>
        <w:t xml:space="preserve">In the document titled “issues in process being developed in UNESA at the beginning of 2007” (folios 984-989), it is noted that “in UNESA, the basic parameters were specified before the end of 2006 (price, amount, time, etc.) for a possible agreement with large consumers.  </w:t>
        <w:br/>
        <w:t xml:space="preserve">In light of the latest news regarding AEGE's requests for offers from companies, the future steps to be taken from UNESA, if applicable, and the companies themselves should be specified”.  </w:t>
        <w:br/>
        <w:t xml:space="preserve">At the meeting on February 14 (folios 2975-2978), it is emphasized that contracting with large customers was “subject to study and analysis before the end of 2006 in the Association but now seems to be stalled” and “in this regard, the Board of Directors expresses the need that prior to initiating any contracting process, all elements of the electrical model affected by this issue are known […]”.  </w:t>
        <w:br/>
        <w:t xml:space="preserve">In the Memorandum of the Directors Committee of March 21, 2007 (folios 2863-2867), it is stated:  </w:t>
        <w:br/>
        <w:t xml:space="preserve">“7.2 Large consumers  </w:t>
        <w:br/>
        <w:t xml:space="preserve">This point on the agenda was included to see if there are any updates from the companies regarding this matter, and it is confirmed that there is nothing new in this regard. It is agreed that the solution to this problem must occur simultaneously with that of others of greater scope”.  </w:t>
        <w:br/>
        <w:t xml:space="preserve">According to the minutes of the Board of Directors of April 17, 2007 (folios 2985-2989), the President of UNESA presents the content of the meeting he held with the Secretary General of Energy on Tuesday, April 3, 2007, in which, among other things, the contracting with large customers was analyzed, noting that “the intention of the Secretary General to convene the companies and UNESA for upcoming meetings to address the aforementioned issues stands out, and the positive assessment that the existence of a common position on them would have.  </w:t>
        <w:br/>
        <w:t xml:space="preserve">In this regard, the Board of Directors considers that, regardless of whether the solution to all of them must be global or joint, the Association and the companies must make the greatest efforts to try to achieve, if possible, a common position on the aforementioned issues”.  </w:t>
        <w:br/>
        <w:t xml:space="preserve">6.2. Disappearance of tariffs for large customers  </w:t>
        <w:br/>
        <w:t xml:space="preserve">In June 2007, Royal Decree 871/2007, of June 29, was approved, adjusting electricity tariffs starting July 1, 2007. This Royal Decree in its Fourth Additional Provision establishes:  </w:t>
        <w:br/>
        <w:t xml:space="preserve">“Fourth Additional Provision. Unification and elimination of tariffs.  </w:t>
        <w:br/>
        <w:t xml:space="preserve">1. As of July 1, 2008, the general high voltage tariffs and the hourly power tariff are eliminated.  </w:t>
        <w:br/>
        <w:t xml:space="preserve">Consequently, from that date, there would only be an integrated tariff regime for consumers covered by tariff D and tariff G.4, in addition to those of Low Voltage.  </w:t>
        <w:br/>
        <w:t xml:space="preserve">At the beginning of July 2007, as already reported, Law 17/2007 was approved, which modifies Law 54/1997, of November 27, of the Electricity Sector. With it, the integrated tariff system is eliminated, establishing last resort tariffs, which obviously cannot be accessed by large customers. The initially planned date for the disappearance of the existing tariffs would be January 1, 2009.  </w:t>
        <w:br/>
        <w:t xml:space="preserve">In July 2007 (folios 2996-2999), a document was prepared by UNESA on “sectoral interest issues” referring to contracts with large consumers:  </w:t>
        <w:br/>
        <w:t xml:space="preserve">- It is reiterated again that in June 2006, the conditions for a possible contracting with these customers were analyzed considering a price of 55€/MWh and a term of 5 years.  </w:t>
        <w:br/>
        <w:t>- It is noted that AEGE contacted all generating companies, requesting offers.</w:t>
      </w:r>
    </w:p>
    <w:p>
      <w:r>
        <w:rPr>
          <w:b/>
        </w:rPr>
        <w:t>[Pages 37–39]</w:t>
      </w:r>
    </w:p>
    <w:p>
      <w:r>
        <w:t xml:space="preserve">- It is known that AEGE is studying the design of a purchasing center that they expect to have operational by the end of July or September.  </w:t>
        <w:br/>
        <w:t xml:space="preserve">In September 2007, FORTIA ENERGÍA was created, a limited company established with a license to operate as a marketing agent in the Electricity Production Market. Fortia is composed of 17 industrial groups from different sectors of the economy. The ownership structure of Fortia is distributed as follows: Steel (47.2%), Cement (25.8%), Metals (20.8%), Gases (6.20%), and Paper (0.07%). They represent around 10% of national energy consumption.  </w:t>
        <w:br/>
        <w:t xml:space="preserve">On the Agenda of the Board of Directors meeting on September 24, 2007, the relationship with the Large Consumers of the G4 is included as a point to be discussed. In that meeting, the situation regarding this matter is reviewed following the recent legislative changes and in relation to the meeting to which the companies have been summoned by the Secretary General of Energy for the following day. In a summary note prepared for the Board of Directors on September 26, 2007, it is announced that this topic will also be addressed. (folios 3013-3019 and 3020-3025).  </w:t>
        <w:br/>
        <w:t xml:space="preserve">On October 16, 2007, a document received from the Large Consumers of the G4 is circulated to the companies, which contains contracting experiences from other countries and the comparative situation of the aluminum and zinc industries. It also includes the following proposal for basic conditions of the bilateral contracts that will replace the G4 tariff:  </w:t>
        <w:br/>
        <w:t xml:space="preserve">“Contract term: 15 years.  </w:t>
        <w:br/>
        <w:t xml:space="preserve">Energy volume: between 10-11 TWh/year under the conditions required for the G4.  </w:t>
        <w:br/>
        <w:t xml:space="preserve">Final price comparable to the current G4 €31/MWh.  </w:t>
        <w:br/>
        <w:t xml:space="preserve">Price based on generation costs of the technologies associated with supply at base (uranium, coal) and other operating and maintenance costs.  </w:t>
        <w:br/>
        <w:t xml:space="preserve">The formula must be based on international indices that allow for predictability and coverage in the markets.  </w:t>
        <w:br/>
        <w:t xml:space="preserve">Supply agreements will be formalized in bilateral agreements between each consumption point and the corresponding electricity company.”  </w:t>
        <w:br/>
        <w:t xml:space="preserve">This note was circulated by UNESA for comments at the Board of Directors meeting on October 23, 2007, where it was referred to as “note and proposal from the consumers (G4) (ideas to counteract the impact).” (Folios 3028-3040 and 3041-3045). The minutes of that Committee state the following:  </w:t>
        <w:br/>
        <w:t xml:space="preserve">“The document received is discussed, which, in the opinion of the members of this Board of Directors, contains inaccuracies regarding the international environment. The economic offer it contains, according to the opinion of all present, is so far from reality that it cannot be taken into consideration.  </w:t>
        <w:br/>
        <w:t xml:space="preserve">After debating whether it was necessary to respond in writing from UNESA, no consensus was reached on this matter.  </w:t>
        <w:br/>
        <w:t xml:space="preserve">Finally, it is reminded that companies must provide UNESA with regulatory ideas that would enable bilateral contracting with these large clients.”  </w:t>
        <w:br/>
        <w:t xml:space="preserve">On the other hand, at the Board of Directors meeting on November 27 (folios 3046-3050), “the letter received from large electricity clients and the possibility of making an institutional response that cannot be questioned from a competition standpoint is discussed. It is agreed to propose to the Board of Directors that UNESA respond in the terms discussed.”  </w:t>
        <w:br/>
        <w:t xml:space="preserve">At the Board of Directors meeting on November 28, 2007, under the section Sectoral Interest Matters, it is stated: “Thirdly, the contracting with large clients is discussed in light of the expected disappearance of the existing regulated tariff for them in the middle of next year.”  </w:t>
        <w:br/>
        <w:t xml:space="preserve">In an email dated May 20, 2008, from a Director of [CONFIDENTIAL] to UNESA, it states (folio 2881):  </w:t>
        <w:br/>
        <w:t xml:space="preserve">“Dear friends:  </w:t>
        <w:br/>
        <w:t xml:space="preserve">I believe it is urgent and critical that UNESA establishes a two-way strategy: a) Prepare a report to expose the falsehoods of the CNE report that has led to so much intervention and attack against the companies in the sector; b) establish a strong communication plan, for which the heavyweight communicators of the companies should be activated; c) analyze legal defense avenues against the attacks we are suffering.  </w:t>
        <w:br/>
        <w:t xml:space="preserve">I believe we must defend ourselves collectively, but we run the risk that if action is not taken quickly (both the Administration, Fortia, and the CNE are doing so), each company will decide to go it alone, and I believe we would lose the battle.”  </w:t>
        <w:br/>
        <w:t xml:space="preserve">The same Director of [CONFIDENTIAL] sends another email days later to the same people at UNESA attaching an article from the Director of AEGE that says: “As you can see, AEGE insists that contracts linked to the costs of cheap technologies (and not to prices) be ‘enhanced’ and again refers to the CNE report.” They then propose certain measures (preparation of reports and press articles) to be carried out by UNESA.  </w:t>
        <w:br/>
        <w:t xml:space="preserve">According to the article, the CNE analysis refers to the “necessary amount of increase in the electricity tariff on July 1 and its parallel report demonstrating that certain technologies obtain extraordinary profits in the Spanish marginal market” (folio 2190).  </w:t>
        <w:br/>
        <w:t xml:space="preserve">In a draft letter dated June 12, 2008, to the Minister of Industry, Tourism and Trade, addressing the Main Regulatory Issues concerning the Electricity Sector, it expresses the need to end the transition period towards the model provided by community regulations and that it is urgent for the Regulator to make a series of decisions consistent with that objective.  </w:t>
        <w:br/>
        <w:t xml:space="preserve">Therefore, the letter addresses “the pending issues that, in our opinion, are most important in the regulatory system of the sector, with a global and joint approach to the possible treatment of them.” As the third point of the letter, it addresses the Elimination of the comprehensive tariff and the bilateral contracting of supplies currently covered by the G4 tariff.  </w:t>
        <w:br/>
        <w:t xml:space="preserve">In that section, it is highlighted that “Regulatory measures must be established as soon as possible to allow for the real compliance with the planned schedule for the elimination of tariffs, contemplating the procedures and actions to be followed by the supplying agents…”. It alludes to the fact that otherwise, it discriminates against those clients who have acted consistently by contracting supply with a marketer. And it concludes, “It will also be necessary to provide a definitive solution, with sufficient guarantees for suppliers, to those supplied to consumers with special characteristics, through bilateral contracting mechanisms, a solution in which electricity generators must collaborate” (folios 3069-3070).  </w:t>
        <w:br/>
        <w:t xml:space="preserve">In a document from June 2008, it is stated that “Regardless of the repeal of the RD-Law [referring to Royal Decree-Law 11/2007, of December 7, which deducts from the remuneration of electricity production activity the higher income derived from the free allocation of greenhouse gas emission rights], within the framework of that complete repeal, there is a commitment that electricity companies establish contracts until a maximum of the year 2012 with the three G4 clients and with the group of industrial clients from the sectors mentioned below and that it is demonstrated by the Ministry that they have viability problems in their transition to the market.”  </w:t>
        <w:br/>
        <w:t xml:space="preserve">It is proposed that this position be the one that the President of UNESA verbally comments to the Ministry (folios 3066-3068).  </w:t>
        <w:br/>
        <w:t xml:space="preserve">There is a draft letter to the Minister proposing the procedure to be applied to consumers who lose access to the market at tariff in the electricity sector on July 1, 2008, under Decree 871/2007, in terms similar to those regulated for the natural gas sector, which, according to the document, is summarized as follows:  </w:t>
        <w:br/>
        <w:t xml:space="preserve">- As of July 1, 2008, consumers covered by general high voltage tariffs and THP tariffs must supply themselves in the liberalized market.  </w:t>
        <w:br/>
        <w:t xml:space="preserve">- Distribution companies must communicate the above to those consumers, warning that if they do not contract supply with a marketer, the supply will be suspended under the terms indicated in the following section.  </w:t>
        <w:br/>
        <w:t xml:space="preserve">- If consumers do not prove to have a contract with a marketer, distributors will proceed to suspend the supply to those consumers between October 1 and 10.  </w:t>
        <w:br/>
        <w:t xml:space="preserve">- The consumption made until the suspension will be billed at the price of tariff 3.0.2.  </w:t>
        <w:br/>
        <w:t xml:space="preserve">- If the distributor cannot carry out the suspension of supply, it will communicate this to the CNE, which will designate a marketer that will assume the supply at a maximum price equivalent to tariff 3.0.2.  </w:t>
        <w:br/>
        <w:t>Order ITC/1857/2008, of June 26, which revises electricity tariffs as of July 1, 2008, enshrines the end of high voltage tariffs as of July 1, 2008. In its First Transitional Provision, in line with the aforementioned proposal, it establishes the following:</w:t>
      </w:r>
    </w:p>
    <w:p>
      <w:r>
        <w:rPr>
          <w:b/>
        </w:rPr>
        <w:t>[Pages 40–42]</w:t>
      </w:r>
    </w:p>
    <w:p>
      <w:r>
        <w:t xml:space="preserve">“1. The electricity consumed by consumers subject to general high voltage tariffs, hourly power tariffs, and high voltage irrigation tariffs who have not entered into a supply contract in the free market as of July 1, 2008, will be supplied and billed by the distributor to which they are connected, applying the price of tariff 3.0.2 for the first month, along with the reactive energy complement and the hourly discrimination rate that the consumer had contracted. This price will increase monthly by 5%.”  </w:t>
        <w:br/>
        <w:t xml:space="preserve">On August 1, 2008, AEGE sent the “Action Plan” presented to the MITYC to the President of UNESA, which was forwarded to its associates. Iberdrola considers this Plan unacceptable and that “AEGE is no longer a valid interlocutor” (folios 2882-2884 and 3073-3081). The Action Plan emphasizes the significant increase in electricity prices that the basic industry has had to bear as a result of the transition to the free market on July 1, 2008, and includes the following proposal:  </w:t>
        <w:br/>
        <w:t xml:space="preserve">“At this time, the indicated differences represent for the affected companies an increase in the cost of electricity of €40 million per month, which needs to be redirected immediately both for the operating accounts of the companies and for the investment decision-making that multinationals need to adopt quickly.  </w:t>
        <w:br/>
        <w:t xml:space="preserve">To achieve this, AEGE proposes the following shared effort scheme by the involved parties:  </w:t>
        <w:br/>
        <w:t xml:space="preserve">- On the part of the industry, to assume an increase in purchase prices to around €35 MWh as a minimum value and €45-50 MWh as an average value, which are the references in France.  </w:t>
        <w:br/>
        <w:t xml:space="preserve">- On the part of electricity suppliers, formulas based on the costs of the Spanish generation mix for terms of at least 5 years.  </w:t>
        <w:br/>
        <w:t xml:space="preserve">- Decrease in regulated costs that burden or are added to the purchase price, although linked to commitments by the industry to support voltage control and utilization of lines.  </w:t>
        <w:br/>
        <w:t xml:space="preserve">- Regulatory development of the concept of ex ante interruptibility, or environmental, designed for companies capable of yielding at least 50% of their maximum demanded power during peak demand hours of the system, in a programmed or agreed manner with the System Operator.  </w:t>
        <w:br/>
        <w:t xml:space="preserve">- Readjustment of the tax reference base, so that the total of assumptions does not exceed 5.11% of the final price of electricity.  </w:t>
        <w:br/>
        <w:t xml:space="preserve">- All of this under formats that foresee and lead to long-term contracts based on generation costs consistent with the Spanish mix and the way of working of the basic industry.”  </w:t>
        <w:br/>
        <w:t xml:space="preserve">A document from UNESA, dated November (folio 3082), states that “from the meetings with the Ministry it is inferred” that, regarding large customers, contracts would need to be signed for 5 years, extendable to 10, particularly in the G4, assuming an effort of €470 million annually and with other customers, assuming an additional €650 million annually.”  </w:t>
        <w:br/>
        <w:t xml:space="preserve">Also in November, a draft of a “global agreement on the electricity sector” (folios 3084-3088) was prepared, which states that “it must be taken into account, first of all, that all electricity companies, not just those of UNESA, should participate, in one way or another, in this joint effort, in which it could be considered […] to establish contracts under conditions of price, term, and review clauses, for a period of five years with customers with intensive electricity use, which do not substantially exceed the current levels of the most deficit tariff.”  </w:t>
        <w:br/>
        <w:t xml:space="preserve">LEGAL GROUNDS  </w:t>
        <w:br/>
        <w:t xml:space="preserve">FIRST. Applicable regulations  </w:t>
        <w:br/>
        <w:t xml:space="preserve">The conduct attributed would have begun according to the DI while Law 16/1989, of July 17, on the Defense of Competition, was in force, and would have continued under Law 15/2007, of July 3, on the Defense of Competition, which came into force on September 1, 2007.  </w:t>
        <w:br/>
        <w:t xml:space="preserve">Since the initiation of the file occurred on June 24, 2009, its processing has been carried out in accordance with the procedural rules of Law 15/2007, as this is contrary to the First Transitional Provision of this regulation.  </w:t>
        <w:br/>
        <w:t xml:space="preserve">Both Law 16/1989 and Law 15/2007 prohibit the same conduct in their article 1.1. Therefore, for the purposes of the legal qualification of the proven facts, it is not more relevant to apply one or the other.  </w:t>
        <w:br/>
        <w:t xml:space="preserve">In cases like the present, where the conduct extends over time during the validity period of the two regulations according to art. 128 of Law 30/1992, it is necessary to apply one of them, opting for the one that is most beneficial for the accused companies according to the principles of non-retroactivity of the more unfavorable sanctioning regulation and retroactivity of the more favorable one for the offender in the specific case. For reasons similar to those expressed in certain precedents (Expte. S/0120/08, Transitarios; Expte. S/0086/08. Professional Hairdressing), in the case of conduct of infringements of article 1 led by companies, the sanctioning regime of Law 16/1989 cannot be considered more favorable. This is evident, among other elements of judgment, from the system of grading infringements provided for in Law 15/2007 and nonexistent in the previous legislation, from the establishment of maximum caps on the amount of some sanctions of lower amounts than the general one provided for by article 10 of Law 16/1989, from the reduction of prescription periods for some of the typified conducts, or from the particularly noteworthy in this case the possibility, common to all who have participated in a cartel, to request exemption or reduction of the sanction.  </w:t>
        <w:br/>
        <w:t xml:space="preserve">This conclusion is not altered by the fact that an association may be involved in the conduct, as long as the sanction to be imposed does not exceed €901,518.16 as the limit provided by article 10 of Law 16/1989 according to the interpretation given to it by doctrine (Expte. 312/99 Wines of Guipúzcoa).  </w:t>
        <w:br/>
        <w:t xml:space="preserve">In view of this, it is considered that the applicable regulation in the present case is Law 15/2007.  </w:t>
        <w:br/>
        <w:t xml:space="preserve">The Council agrees with the DI that the conduct attributed is also likely to infringe article 101 of the TFEU, as the agreement has involved the five main companies in the Spanish electricity sector. In this regard, the Commission Guidelines on the concept of effect on trade contained in article 81 of the TEC, based on community jurisprudence, state that agreements covering the integrity of the territory of a Member State produce “by their very nature the effect of consolidating the compartmentalization of markets on a national scale preventing the economic penetration that the Treaty seeks to achieve” (paragraph 78).  </w:t>
        <w:br/>
        <w:t xml:space="preserve">SECOND. Allegations of defenselessness  </w:t>
        <w:br/>
        <w:t xml:space="preserve">Some of the parties have made certain allegations of defenselessness that should be resolved beforehand.  </w:t>
        <w:br/>
        <w:t xml:space="preserve">ENDESA alleges the nullity of the inspection action of the DI because it allegedly violated fundamental rights of the parties. In particular, such investigative act would violate the provisions of 18.2 and 24 CE due to lack of motivation, disproportionality, and violation of attorney-client communications, among other reasons.  </w:t>
        <w:br/>
        <w:t xml:space="preserve">UNESA filed an appeal against the Investigation Order of November 2, 2009, and against the inspection action carried out on November 5 and 6, 2009, arguing that articles 18.1, 18.2, and 24.2 of the CE had been violated. This appeal was inadmissible by Resolution of December 14, 2009 (Expte R/0030/09).  </w:t>
        <w:br/>
        <w:t xml:space="preserve">In that Resolution, to which we refer, the Council had the opportunity to analyze, assess, and rule on the issues that ENDESA alleges, which is why it will not re-enter into it now.  </w:t>
        <w:br/>
        <w:t xml:space="preserve">That Resolution was appealed before the National Court on February 11, 2010. UNESA requested the adoption of a precautionary measure to suspend the execution of the appealed Resolution. By Order of May 24, 2010, the National Court ruled that there was no basis to suspend the execution of the challenged administrative acts. The appeal filed has not been resolved to date, so, with full respect for the principle of effective judicial protection, it is appropriate to wait for the ruling of the reviewing body, governing until that moment, in accordance with article 57 of Law 30/1992, of November 26, on the Legal Regime of Public Administrations and Common Administrative Procedure, the presumption of validity and effectiveness of administrative acts.  </w:t>
        <w:br/>
        <w:t xml:space="preserve">Gas Natural alleges that a substantial modification of the file has occurred through successive expansions of its scope, being unaware of its true object until the notification of the PCH. It refers to the expansion of the initiation to the parent companies a few days before issuing the PCH. Iberdrola also considers that its right to defense has been violated due to its late attribution.  </w:t>
        <w:br/>
        <w:t>According to article 50.3, the PCH is the document where the facts constituting an administrative infringement must be recorded and the attribution specified so that the administered parties can exercise their right to defense. The regulation does not establish a minimum period that must elapse between the initiation of the file against a company and its</w:t>
      </w:r>
    </w:p>
    <w:p>
      <w:r>
        <w:rPr>
          <w:b/>
        </w:rPr>
        <w:t>[Pages 43–45]</w:t>
      </w:r>
    </w:p>
    <w:p>
      <w:r>
        <w:t xml:space="preserve">to where the facts that constitute an administrative infraction must be collected and specify the charges so that the parties can exercise their right to defense. The regulation does not establish a minimum period that must elapse between the initiation of the proceedings against a company and its indictment. In the present case, as stated in the Background Facts, the DI notified the PCH on May 6, 2010, specifying the behaviors attributed, so that the parties have been able to duly exercise their right to defense, enjoying for this purpose the various instruments and guarantees that the legal system recognizes to every accused in a sanctioning procedure.  </w:t>
        <w:br/>
        <w:t xml:space="preserve">In any case, the extension of the initiation to Iberdrola S.A. occurred through an Agreement of the DI dated April 30, 2010, which was appealed by said company. The Council resolved its inadmissibility through a Resolution dated June 2, 2010 (Expte. R/0044/10, IBERDROLA). This Resolution was appealed before the National Court, so it is not yet final.  </w:t>
        <w:br/>
        <w:t xml:space="preserve">Gas Natural considers the fact that the PCH was not also notified to the subsidiaries as a cause of defenselessness. The DI has notified the PCH to the parent companies, which are considered responsible for the conduct. The analysis of the attribution of responsibility is addressed in subsequent Legal Grounds. In any case, to the extent that the subsidiaries are not indicted, the acts adopted in this procedure cannot generate defenselessness for them.  </w:t>
        <w:br/>
        <w:t xml:space="preserve">GAS NATURAL also alleges other temporal anomalies that constitute a breach of the right to defense. Specifically, the request for a report to the CNE was made once the PCH was sent, and the party considers that this is not the appropriate procedural moment, but rather before the PCH. Without entering here to assess what is the most pertinent moment for the request for such opinion, the allegation cannot be accepted because in neither of the two scenarios it raises – request before or after the PCH – does it generate defenselessness for the parties, provided that the interested parties have been given access to it and the possibility to formulate allegations regarding it, which has been done.  </w:t>
        <w:br/>
        <w:t xml:space="preserve">On the other hand, the same company considers that by issuing the Proposal for Resolution a few days before the end of the 12-month period provided for in the regulation, the extension of the period for allegations has been prevented, which constitutes a serious breach of the right to defense. As this Council has had the opportunity to express on multiple occasions, the extension by the DI of the legal period of 15 days to formulate allegations to the PCH or to the Proposal for Resolution is not a right of the accused, but a discretionary power of the CNC. With the motivated denial of the extension, it is not possible to violate the right to defense nor can defenselessness be generated for the parties, who in any case have enjoyed the period provided by law to carry out the corresponding procedure. It is worth recalling, in this regard, that according to the provisions of Article 48 of the LRJAP-PAC, the deadlines bind not only the Administration but also the interested parties in the proceedings.  </w:t>
        <w:br/>
        <w:t xml:space="preserve">UNESA and Hidrocantábrico state that the Proven Facts contain numerous subjective assessments that do not correspond to the documentation in the file. Iberdrola and Gas Natural also allege that a biased interpretation of the evidence is made and that there is arbitrariness in the analysis of the documentation in the file by ignoring documents that do not corroborate the DI's thesis.  </w:t>
        <w:br/>
        <w:t xml:space="preserve">After a thorough analysis of the documentation in the file and to which the accused parties have had access, the Council has been able to verify that what the DI stated as Proven Facts is supported by the documentation in the file, and this is explicitly stated and detailed in the Proven Facts of this Resolution. Taking into account the allegations of the parties, note has been taken of those inaccurate pieces of information regarding meeting dates or possible misinterpretations of documents, which is reflected both in the proven facts and in the legal assessment of the behaviors. Likewise, due attention has been given to the allegation reiterated by the majority of the parties that the legal-economic context in which the behaviors are framed was not sufficiently taken into account.  </w:t>
        <w:br/>
        <w:t xml:space="preserve">Regarding Iberdrola's allegation that with respect to the conduct of setting commercial conditions for large customers, the DI limits itself to referring to an annex that contains a list of documents, which does not constitute a sufficiently clear exposition of the facts attributed that allows for the proper exercise of the right to defense, this Council disagrees with such appreciation. The DI recounts a series of proven facts that allow understanding the indictment, whether or not one disagrees with the qualification given to them, and consequently exercising the right to defense, as Iberdrola has indeed been able to do.  </w:t>
        <w:br/>
        <w:t xml:space="preserve">THIRD. Conducts attributed by the DI  </w:t>
        <w:br/>
        <w:t xml:space="preserve">The DI identifies two collusive conducts that it qualifies as very serious in accordance with Article 62.4.a) of the LDC.  </w:t>
        <w:br/>
        <w:t xml:space="preserve">First, a collusive conduct prohibited by Article 1 of the LDC as well as by Article 101 of the TFEU, by the actions of Iberdrola, S.A., Endesa, S.A., E.on España S.L., Gas Natural SDG, S.A. and Hidroeléctrica del Cantábrico, S.A., using UNESA, from May 2007 to July 2009, consisting of adopting and implementing a coordination strategy aimed at obstructing supplier changes.  </w:t>
        <w:br/>
        <w:t xml:space="preserve">According to the DI, this conduct comprises agreements on the validation data required to access the SIPS, the agreement not to attend to requests from a retailer, the coordination to deny access to the SIPS under the guise of exercising a legal action against the regulation that stipulated it, and the agreement to cut operations and, therefore, the possibility of making requests for supplier changes on determining dates.  </w:t>
        <w:br/>
        <w:t xml:space="preserve">Second, a collusive conduct prohibited by Article 1 of the LDC as well as by Article 101 of the TFEU, by the actions of Iberdrola, S.A., Endesa, S.A., E.on España S.L., Gas Natural SDG, S.A. and Hidroeléctrica del Cantábrico, S.A., using UNESA, consisting of adopting, between February 2006 and January 2009, a strategy to set and attempt to apply various commercial and contracting conditions. According to the DI, this conduct comprises a series of actions whose object per se is anti-competitive, such as the dissemination and possible use of a certain invoice model; the preparation and use of a model energy supply contract and the setting of contracting conditions with customers with high energy consumption.  </w:t>
        <w:br/>
        <w:t xml:space="preserve">The DI considers that in both cases, UNESA's intervention has consisted of facilitating coordination among the electricity companies, providing them with a stable forum for action and consolidating the agreements reached by them, granting them formal validity through the governing bodies of the association, thus exceeding the functions that correspond to an association and what can be considered legitimate assistance.  </w:t>
        <w:br/>
        <w:t xml:space="preserve">FOURTH. Allegations of the parties  </w:t>
        <w:br/>
        <w:t xml:space="preserve">The Council has carefully considered all the allegations presented, of which, due to their length and degree of detail, only a summary is appropriate here.  </w:t>
        <w:br/>
        <w:t xml:space="preserve">General Allegation  </w:t>
        <w:br/>
        <w:t xml:space="preserve">The majority of the parties agree in alleging that the PCH presents as illicit perfectly lawful actions in defense of the interests of the associates that constitute the exercise of fundamental rights, such as effective judicial protection.  </w:t>
        <w:br/>
        <w:t xml:space="preserve">UNESA facilitates a unit of communication with the Administration. It does so through the Advisory Council of Electricity, as legally provided, and also from an informal level that allows for the elevation of proposals for regulations or modifications thereof. In UNESA's opinion, the exchange of ideas and proposals among companies within a sectoral Association for this purpose is being presented as illicit. It is a coordination that affects the relationship of companies with public authorities for the better development of the regulatory framework, which does not aim to restrict competition and cannot harm the common good because it will be counterbalanced by the parallel activity of other groups and by the Administration itself. Only once the public authorities issue the corresponding regulation must companies autonomously decide their conduct in the market within the established regulatory framework. Various doctrines are cited in this regard, particularly the Judgment of the TG of May 12, 2010, in case T-432/05.  </w:t>
        <w:br/>
        <w:t xml:space="preserve">Weak evidentiary basis and absence of infringement  </w:t>
        <w:br/>
        <w:t xml:space="preserve">The parties also agree in emphasizing that the investigation has not been able to prove any anti-competitive concertation. The allegations state that the infringements have not been accredited and the anti-competitive nature of the conducts has been presumed.  </w:t>
        <w:br/>
        <w:t xml:space="preserve">Regarding the obstruction of the change of retailer:  </w:t>
        <w:br/>
        <w:t xml:space="preserve">- The alleged coordination to not attend to the requests of Centrica is not proven. What the minutes state is “In relation to the complaints made by Centrica, it is agreed that UNESA does not attend to any request from this entity.” But it is not UNESA that grants access to the SIPS nor can its members be interpreted as “UNESA.” The intentionality presumed to a phrase that may have alternative explanations is not accredited.  </w:t>
        <w:br/>
        <w:t>- The adoption of agreements to determine the data required for access to the SIPS with the aim of harming third parties has not been demonstrated. What is recorded is that the electricity companies worked on mere working proposals. On the other hand, the homogenization of the access criteria to the SIPS not only does not distort competition but benefits the retailers and is endorsed by Article 39.3 of the LSE. Such data comes from a document prepared by the CNE Flowchart of processes from 2002. The PCH acknowledges this (paragraph 67). The working groups of UNESA then limited themselves to exploring ways to simplify it (Hidrocantábrico). The CUPs were chosen because their quasi-personal nature meant that the retailer had the consent.</w:t>
      </w:r>
    </w:p>
    <w:p>
      <w:r>
        <w:rPr>
          <w:b/>
        </w:rPr>
        <w:t>[Pages 46–48]</w:t>
      </w:r>
    </w:p>
    <w:p>
      <w:r>
        <w:t xml:space="preserve">- The alleged coordination in relation to the Third Additional Provision of Order ITC/3860/2007 of December 28 and the appeal regarding it to hinder access to the SIPs is nothing more than the exercise of a constitutional right. Gas Natural argues that the exercise of legal actions can only be restrictively anti-competitive in exceptional cases when two requirements are applied restrictively: i) it cannot be reasonably considered that they aim to assert their rights, and ii) they are conceived within a plan intended to eliminate competition. The fact that the National Court provisionally suspended the order prevents asserting that the appeal lacked any basis and that there is an abuse of effective judicial protection.  </w:t>
        <w:br/>
        <w:t xml:space="preserve">- It has not demonstrated an alleged agreement for the cessation of operations due to the entry into force of the SUR. Each distributor suspended management over different requests in BT and at different times. Iberdrola considers that it is rather evidenced that the distributors informed the marketers that the cessation of operations would not affect their requests. Several allegations reveal that the parties mutually informed each other of their problems regarding the implementation of the SUR, but no cessation of operations was agreed upon. UNESA argues that, since it is a regulated activity, these exchanges of information do not affect competition. In fact, to the extent that they seek to facilitate the transition to liberalized supply, they should be considered pro-competitive. This is an unprecedented regulatory change for which companies had little time. All argue that they did not cease operations.  </w:t>
        <w:br/>
        <w:t xml:space="preserve">According to Iberdrola and E.on, there is no evidence in the file that the days prior to the entry on 1/7/2009 were key. The disappearance of tariffs on that date does not promote the change because another regulated tariff appears: the TUR.  </w:t>
        <w:br/>
        <w:t xml:space="preserve">According to UNESA and Endesa, the DI makes a mistake by referring to the minutes of 14/2/2007, which artificially extends the duration attributed to the conduct. Endesa considers that if the cessation was not communicated to the Administration, it is because it was obvious. It also reiterates that the migration of CUR customers occurred from July 1, 2009, and not before.  </w:t>
        <w:br/>
        <w:t xml:space="preserve">Endesa and Hidrocantábrico state that there is no decision by the companies adopted in the Regulatory Committee of February 18, 2008, to migrate customers to TUR before transitioning to the free market.  </w:t>
        <w:br/>
        <w:t xml:space="preserve">The parties also predominantly state that the DI ignores the reports from MITyC and CNE issued in the context of this file, especially regarding the cessation of operations.  </w:t>
        <w:br/>
        <w:t xml:space="preserve">Regarding the coordination of commercial policies:  </w:t>
        <w:br/>
        <w:t xml:space="preserve">- All parties agree that the DI refers to isolated and disconnected behaviors that do not constitute a strategy to set contracting conditions. Invoice, standard contract, and negotiation with large clients AEGE do not have the necessary connection—neither temporal nor by their object—nor does the DI justify it. In the PR, the DI has admitted that the coordination regarding the invoice and the standard contract refers to regulated activity while the negotiation with AEGE refers to the free market. But it does not draw the conclusions that arise from this for the purposes of imputing the behaviors.  </w:t>
        <w:br/>
        <w:t xml:space="preserve">- It has not demonstrated the alleged adoption of agreements regarding a standard contract. It is only recorded that UF circulated a proposal. Additionally, no instruction has been carried out to review that standard contract nor have the supply contract models of the companies been analyzed to see if there is alignment, which prevents arguing against its legality. UNESA and Endesa argue that Article 79.4 of RD 1955/2000 establishes that it is the Ministry's competence to develop standard supply and network access contracts, although it had not proceeded to do so. It was about reaching consensus on contract models and elevating them as a proposal, which was not achieved. On the other hand, its anti-competitive object has not been demonstrated. The agreement was not likely to affect competition since in 2007 supply was a regulated activity. It could even be a conduct generating efficiencies.  </w:t>
        <w:br/>
        <w:t xml:space="preserve">- The parties agree that the purpose of replacing the invoice with the bank receipt was not to deprive customers of information. Several parties recount that traditionally companies have requested the Ministry's approval of the receipt model. In light of the regulatory changes (Fourth Additional Provision of RD 485/2009 for the implementation of TUR supply and Seventh Additional Provision of RD 1578/2008 which provided for monthly billing) and the impetus given by the Administration to e-invoicing issues, meetings were held on billing within UNESA. Proposals were decided to be elevated to the Ministry that sought to minimize the costs of commercial management in the face of monthly billing. The DI only proves that the companies discussed a proposal for an invoice to propose to the MICyT, but it is not even recorded that it was proposed. The DI provides speculative and unfounded arguments to evidence bad faith on the part of the companies, which did not exist. It was not about reducing competition but about saving an extra cost.  </w:t>
        <w:br/>
        <w:t xml:space="preserve">Endesa points out that RD 1578/2008 has not been modified and the monthly invoice continues to be sent.  </w:t>
        <w:br/>
        <w:t xml:space="preserve">In any case, some parties (E.ON, Gas Natural) point out that customers can access that information through other means.  </w:t>
        <w:br/>
        <w:t xml:space="preserve">- Coordination in the contracting conditions with AEGE. Some parties (Iberdrola) consider that the description of the facts is partial and inconclusive. Iberdrola believes that there is no evidence in the file of concertation among the members of UNESA, much less proof of Iberdrola's participation. Endesa and Gas Natural argue that it is not clear in the PCH whether the conduct attributed consists of a concertation of the electricity companies prior to the negotiation with AEGE or the negotiation itself with AEGE.  </w:t>
        <w:br/>
        <w:t xml:space="preserve">UNESA describes the context. In light of the disappearance of tariffs for industrial customers, the Administration sought to avoid abrupt changes for such customers. It was the Administration itself that requested both parties to reach an agreement setting the guidelines they should follow and the objectives to be achieved. That is why UNESA conducted studies on scenarios of increases and potential impacts on customers.  </w:t>
        <w:br/>
        <w:t xml:space="preserve">The parties state that there was no anti-competitive intent. Several of them point out that, in fact, the electricity companies were harmed by this negotiation instigated by the Public Administrations.  </w:t>
        <w:br/>
        <w:t xml:space="preserve">In short, in the opinion of the parties, the behaviors are either not evidenced, or do not constitute agreements to which Article 1 of the LDC applies, or do not have an anti-competitive object.  </w:t>
        <w:br/>
        <w:t xml:space="preserve">In the opinion of some parties, this imputation of behaviors based on weak evidence violates the presumption of innocence.  </w:t>
        <w:br/>
        <w:t xml:space="preserve">Unique and continuous infringement  </w:t>
        <w:br/>
        <w:t xml:space="preserve">The parties argue regarding the two behaviors that it cannot be concluded that they are unique and continuous infringements. The actions do not have a single and common anti-competitive object, there is no similarity between them, and they do not present a complementary link (lack of coincidence in the application period, in their content, and in their objective). The Judgment of the National Court in the Cajas Vascas case is cited to argue that the behaviors could only be amalgamated into a unique infringement for having a common anti-competitive object and that this is not the case. Some parties (E.ON, Hidrocantábrico) argue that the coordination of actions against third-party competitors cannot be presumed to be an infringement by object.  </w:t>
        <w:br/>
        <w:t xml:space="preserve">Ne bis in ídem  </w:t>
        <w:br/>
        <w:t xml:space="preserve">Some parties invoke this principle with certain nuances.  </w:t>
        <w:br/>
        <w:t xml:space="preserve">Endesa considers that the conduct of denying access to the SIPS to Centrica has already been sanctioned in the sanctioning files processed against the distributors for abuse of dominant position due to Centrica's complaint. The difference with the previous sanctioning body is the conduct that is intended to be punished (agreement or unilateral conduct). Articles 1 and 2 of the LDC do not contain two distinct prohibitions.  </w:t>
        <w:br/>
        <w:t xml:space="preserve">UNESA invokes the principle of non bis in ídem by alleging the conduct of coordination regarding the validation data files for access to the SIPS and Gas Natural with a more general character, encompassing several of the alleged agreements. They consider that it is not possible to apply Articles 1 and 2 of the LDC to the same facts and that the alleged agreement being pursued consists of executing the conduct already sanctioned.  </w:t>
        <w:br/>
        <w:t xml:space="preserve">Iberdrola considers that the configuration of the behaviors attributed by the DI as well as the attribution to the parent company has been carried out to circumvent the principle of non bis in ídem.  </w:t>
        <w:br/>
        <w:t xml:space="preserve">Legitimate expectation  </w:t>
        <w:br/>
        <w:t>The parties also agree that the principle of legitimate expectation should be applied to the assessment of the behaviors, especially regarding the setting of conditions for large clients. The DI itself refers to the contacts that the electricity companies and AEGE maintained with the Government. It was the MICyT that indicated to UNESA the guidelines that should govern contracting with AEGE and convened the meetings according to the annex of the PCH itself. Iberdrola details these contacts with MITyC. It also cites the appearances of the Minister before the Congress of Deputies.</w:t>
      </w:r>
    </w:p>
    <w:p>
      <w:r>
        <w:rPr>
          <w:b/>
        </w:rPr>
        <w:t>[Pages 49–51]</w:t>
      </w:r>
    </w:p>
    <w:p>
      <w:r>
        <w:t xml:space="preserve">Endesa and Iberdrola point out that if they are ultimately considered guilty, they reserve the corresponding exercise of patrimonial liability against the State.  </w:t>
        <w:br/>
        <w:t xml:space="preserve">Regarding the attribution of responsibility  </w:t>
        <w:br/>
        <w:t xml:space="preserve">E.ON considers that its participation in the conduct arises from its status as a member of UNESA. The conduct takes place exclusively within UNESA. It could not have been carried out without its participation. Since UNESA is considered the essential vehicle of the conduct, if there is an infringement, it is UNESA's responsibility. The members are not responsible for its conduct. Therefore, fining UNESA and the companies would violate the principle of non bis in idem and would amount to double sanctioning the associates. It cites doctrine from the TDC that supposedly ratifies this approach. In the event that prohibited conduct is considered, UNESA should be sanctioned for collective recommendation.  </w:t>
        <w:br/>
        <w:t xml:space="preserve">ENDESA also agrees that an Association and its members cannot be sanctioned for the same conduct, even if done under a different legal qualification. However, unlike E.ON, it considers that the attribution to UNESA is not appropriate since the sanctioned conduct is only attributable to the member companies of UNESA, without the Association having had any intervention.  </w:t>
        <w:br/>
        <w:t xml:space="preserve">UNESA joins the argument of ne bis in idem. It may supposedly be the author of the conduct or its members may be, but it is not an autonomous entity that joins the agreement. For all these reasons, it requests the filing of the proceedings concerning UNESA. If it is considered that the RCNC of December 14, 2009 (Expte R/0030/09) being challenged is lawful, it is not understood how UNESA can be re-attributed for the same conduct. The parties (Iberdrola, Endesa, UNESA, and Hidrocantábrico) indicate that the parent company cannot be attributed conduct that affects distribution activity, especially when they are subject to a separation of functions obligation imposed by Article 14 of the LSE, compliance with which has not been contested by any instance. IBERDROLA adds that this constitutes a violation of the principle of individuality and responsibility of sanctions. The separation of activities prevents the automatic application of 61.2.  </w:t>
        <w:br/>
        <w:t xml:space="preserve">Absence of effects  </w:t>
        <w:br/>
        <w:t xml:space="preserve">The parties consider that the reality of the market demonstrates that the practices have not produced and cannot produce any anti-competitive effect. Evidence of different types is provided in this regard based on market data: shares of retailers in their distribution areas (E.ON), processed requests (E.ON, Endesa) in the months of the critical period of the transition to SUR (E.ON), and analysis of rejections (E.ON). They also argue about the statements of the MITyC in its report on this matter.  </w:t>
        <w:br/>
        <w:t xml:space="preserve">Iberdrola states that in the Proposal for Resolution, an attempt is made to link the lack of competition in marketing to the alleged conduct without establishing any causal link. From the data, it is inferred that there was no discrimination between vertically integrated retailers and others; the percentages of the request are conditioned by the quality of the request data, and no retailer gained or lost customers due to the cut in operations because the customer is captured before the request and activation of the ATR.  </w:t>
        <w:br/>
        <w:t xml:space="preserve">In accordance with the provisions of Article 89 of Law 30/92, this Resolution addresses all the issues raised in the context of the file. However, given the wide variety of issues raised and the volume of allegations made by the parties (although many coincide), the Resolution does not exhaustively follow up on each and every allegation made by each of the interested parties in this sanctioning file, since according to jurisprudence, it is sufficient that the response is even implicit, as long as the legal reasoning of the Resolution allows the interested parties to understand the legal reasons that motivate the content of the dispositive part, and for the judicial bodies to have sufficient elements to fully exercise their review function (among others, STJUE 18/05/2006, Case C-397/03 P, paragraph 60).  </w:t>
        <w:br/>
        <w:t xml:space="preserve">FIFTH. Preliminary issues  </w:t>
        <w:br/>
        <w:t xml:space="preserve">Most parties agree in alleging that the PCH presents as illicit perfectly lawful actions in defense of the interests of the associates that constitute the exercise of fundamental rights. In view of this, the Council believes it necessary to clarify this issue preliminarily.  </w:t>
        <w:br/>
        <w:t xml:space="preserve">The five main electricity companies in the country have in UNESA, given the frequency of meetings and contacts, a permanent forum for exchanging opinions and coordinating on various aspects of the sector. Regulatory, remuneration, and relations with third parties are among the topics addressed. Many of these issues have a more or less direct impact on the commercial policy of the companies.  </w:t>
        <w:br/>
        <w:t xml:space="preserve">The companies within UNESA and through it closely coordinate their lobbying activity. The dictionary of the Royal Spanish Academy defines lobbying as an organized group to pressure in favor of certain interests. In particular, lobbying aims to effectively influence the decisions of public administrations. To this end, using UNESA, they employ different instruments.  </w:t>
        <w:br/>
        <w:t xml:space="preserve">First, they use their capacity for normative proposal, both by proposing regulations or modifications of regulations to the administration and by sending their comments on them. From the documentation in the file, it is observed that the five companies reach consensus on their opinions, which are reflected in the documents or normative proposals that UNESA prepares and sends to the administration. UNESA also represents the five companies within the Electricity Advisory Council. Second, the companies, using UNESA, jointly and with some frequency appeal regulations that affect their interests, exercising their right to effective judicial protection. The decision to appeal is made by the companies through the governing bodies of the Association. The Legal Committee, attended by representatives from all companies, monitors and follows up on these issues. Finally, the associates coordinate their actions regarding various issues for the better defense of their interests within the different committees with instruments of a varied nature different from those previously mentioned.  </w:t>
        <w:br/>
        <w:t xml:space="preserve">It must be stated, contrary to what the parties claim, that the right of association is not in question. As it cannot be otherwise, the CNC operates with full respect for constitutional principles and rights. But it cannot be claimed that the activity of an association, simply by being an association, is generally excluded from the analysis of competition law, nor that such analysis, if carried out, constitutes a violation of the right of association. In other words, neither the right recognized by Article 22 of the CE protects anti-competitive practices that an association may engage in, nor does the examination that the Administration may conduct of a specific action imply, as long as it is done through a procedure with all guarantees, any infringement of fundamental rights.  </w:t>
        <w:br/>
        <w:t xml:space="preserve">It should be remembered that all fundamental rights are subject to limits or conditions of exercise due to the need to reconcile their exercise with other rights or interests needing protection. The doctrine of the Constitutional Court should be recalled, which, in relation to the freedom invoked here, summarizes Order 254/2001 of September 20: “Indeed, it is a repeated doctrine of this Court that fundamental rights are not absolute and unlimited rights. On the contrary, their exercise is subject both to limits established directly in the Constitution itself and to others that may be set to protect or preserve other fundamental rights, values, or constitutionally protected goods or constitutionally relevant interests (among many others, SSTC 11/1981, 2/1982, 91/1983, 22/1984, 110/1984, 77/1985, 159/1986, 120/1990, 181/1990, and 143/1994).”  </w:t>
        <w:br/>
        <w:t xml:space="preserve">Specifically, among the rights and legal goods that may limit the scope of the right of association would be, by mandate of Article 38 of the Constitution, the protection of the freedom of enterprise within the framework of free competition. As reiterated by the ruling 112/2006 of the Constitutional Court of April 5, “[W]ithin the necessary measures for the protection of that freedom, we have recognized the special importance of those for the defense of competition, considering this as ‘a defense, and not as a restriction, of the freedom of enterprise and the market economy, which would be threatened by the uncontrolled play of its natural tendencies’ (STC 88/1986, of July 1, F. 4).”  </w:t>
        <w:br/>
        <w:t xml:space="preserve">In particular, this right finds a limit in the prohibition of collusive conduct contemplated in Article 1 of the LDC. The expression “collusive conduct” encompasses all those behaviors or business practices through which economically independent agents coordinate their competitive behavior, substituting their individual autonomy for some more or less explicit and more or less global form of concertation.  </w:t>
        <w:br/>
        <w:t xml:space="preserve">Concertation does not require an explicit and concrete agreement, as the parties claim in their allegations. Article 1 intentionally employs (and doctrine supports this) intentionally broad terms so that, regardless of its form or the legal instrument used, coordination between companies may fall within the scope of Article 1 of the LDC and Article 101 of the TFEU. The key element is the concordance of wills.  </w:t>
        <w:br/>
        <w:t>To the extent that such coordinated conduct has the object or may have the effect of restricting competition in the market, it will fall within the scope of application of Article 1. This means that practices developed by the five electricity companies within UNESA that pursue or have a harmful result on competition in the market may be unlawful, specifically given the file that concerns us, in the</w:t>
      </w:r>
    </w:p>
    <w:p>
      <w:r>
        <w:rPr>
          <w:b/>
        </w:rPr>
        <w:t>[Pages 52–54]</w:t>
      </w:r>
    </w:p>
    <w:p>
      <w:r>
        <w:t>within the scope of application of Article 1. This means that practices developed by the five electricity companies within UNESA that pursue or have a harmful result on competition in the market, specifically given the file at hand, in the electricity marketing markets, may be unlawful. Whatever form this coordination takes, the prohibition has a markedly objective character, regardless of the intention or motivation behind it.</w:t>
      </w:r>
    </w:p>
    <w:p>
      <w:r>
        <w:t>Special mention should be made, as it has been raised by the parties, of the legality of the coordination among companies to raise regulatory proposals. The regulatory proposals that are agreed upon and submitted to the administration may contain unjustified and/or disproportionate elements that restrict competition, limiting market access opportunities in favor of established entities or the change of supplier. However, in light of some of the allegations presented, it cannot be considered that the mere alignment of wills to submit regulatory proposals as described in the Established Facts has the capacity to restrict competition as long as the Administration does not convert the proposal into a norm or derive any other type of public or private action from such proposals. It may happen that such proposals, which may contain elements that could be restrictive of competition, are endorsed in the regulations. In such cases, the actions of the UNESA lobby must find their counterbalance in the regulatory authority of public powers. In this regard, it should be understood that the Administration and the Legislative Power regulate according to the principles of legality and that any restrictions on competition they introduce, regardless of their origin, must be justified, proportionate, and non-discriminatory. Otherwise, the provisions of Article 12.3 and 13.2 of the LDC may apply, all without prejudice to what is provided in Article 4 of the LDC.</w:t>
      </w:r>
    </w:p>
    <w:p>
      <w:r>
        <w:t>The Council understands that the coordination and agreements adopted by the electricity companies within UNESA to submit proposals for regulatory development of the SUR to the Administration fall within this scope and cannot be considered unlawful from the perspective of Article 1, without prejudice to their relevance in understanding the context in which the examined behaviors developed and the intention that guided them.</w:t>
      </w:r>
    </w:p>
    <w:p>
      <w:r>
        <w:t xml:space="preserve">SIXTH. Concerted behaviors to hinder the change of marketer  </w:t>
        <w:br/>
        <w:t xml:space="preserve">The practices investigated in this file would affect distribution and marketing activities, which constitute differentiated relevant markets.  </w:t>
        <w:br/>
        <w:t xml:space="preserve">The management services of the electricity distribution network are considered a local market, in line with various national and community precedents, with each distribution network constituting a separate market, since for the end consumer, supply through one distribution network is not substitutable by supply through another network.  </w:t>
        <w:br/>
        <w:t>The retail electricity supply market has a national geographical dimension. Under current regulations, a marketing company can offer electricity supply to any qualified consumer anywhere in the country, so, in principle, the conditions of competition would be the same throughout the national territory.</w:t>
      </w:r>
    </w:p>
    <w:p>
      <w:r>
        <w:t xml:space="preserve">One of the essential elements that characterize this retail electricity supply market from the demand perspective is the existence of different types of consumers. Both the European Commission and the CNC have defined differentiated relevant markets based on the type of consumer. Thus, a market is defined for large consumers and another for small consumers, due to the different characteristics of supply and demand observed in both segments.  </w:t>
        <w:br/>
        <w:t xml:space="preserve">Large consumers are usually industrial clients supplied at high and medium voltage, who enjoy better information and greater bargaining power and exhibit less brand loyalty. On the other hand, the small consumer segment would mainly include domestic clients and SMEs, supplied at low voltage, who are less informed and less able or willing to negotiate with a marketer.  </w:t>
        <w:br/>
        <w:t xml:space="preserve">As a result of these differences, the prices obtained by each group are substantially different, with a higher supplier switching rate among large consumers, who are characterized by greater price elasticity of their demand.  </w:t>
        <w:br/>
        <w:t xml:space="preserve">This difference has also been noted in the regulatory sphere, leading to a non-homogeneous liberalization process that has followed a different schedule for each type of consumer.  </w:t>
        <w:br/>
        <w:t xml:space="preserve">Law 54/1997, of November 27, on the Electricity Sector and its amendments represented a step forward in the liberalization process by introducing the figure of the qualified client and advancing the eligibility schedule (see Established Fact 2.1). However, domestic clients predominantly continued to be supplied at the distributor's tariff without exercising their ability to choose a marketer in the free market (only 7% entered the market). The tariff level and the characteristics of these clients mentioned above have been determining factors contributing to this fact.  </w:t>
        <w:br/>
        <w:t xml:space="preserve">This permanence of small clients with the distributor means that it possesses information about the characteristics of the supply points and the consumption profile of the clients that, with liberalization, takes on much greater importance.  </w:t>
        <w:br/>
        <w:t xml:space="preserve">Hence, the new liberalizing impetus that Law 17/2007, of July 4, aimed to achieve, in accordance with Directive 2003/54/EC, was to force clients to enter the market and allow marketers to compete for them effectively. As deduced from Section 2.2 of the Established Facts, the regulation contemplated: 1) The elimination of tariffs, although for the smallest domestic clients the TUR is contemplated, with the intention that it be set and updated in such a way that it does not disincentivize clients from entering the market, and 2) to promote a framework that encourages competition among marketers. This framework is based, among other things, on the following elements:  </w:t>
        <w:br/>
        <w:t xml:space="preserve">- Greater functional separation between distribution and supply. The activity of distributors must be limited to the transmission of electricity from the transport network to the supply points, the management of distribution networks, and the management of the information system of supply points (SIPS). Royal Decree 1454/2005, of December 2, already provided for telematic and free access to the SIPS, without establishing conditions for it, and contemplated the client's right of opposition (See Established Fact 2.1). Quoting the CNE again: “access to the SIPS and the management of change operations via telematics are two essential tools for making supplier changes effective and, therefore, for the effective development of competition in the retail market.”  </w:t>
        <w:br/>
        <w:t xml:space="preserve">- The supply activity must be carried out by marketers, including the CUR.  </w:t>
        <w:br/>
        <w:t xml:space="preserve">- A Supplier Change Office that ensures the proper functioning of the processes for clients entering the market and changing suppliers.  </w:t>
        <w:br/>
        <w:t xml:space="preserve">The Established Facts (section 2.3) record that the electricity companies have coordinated their behavior to influence the configuration of this new framework. Much of this influence has occurred through their proposals in the development of the SUR regulations. Law 17/2007 did not foresee which clients would benefit from the TUR, nor who would be the CUR, nor how clients would be transferred. The regulatory proposals from the electricity companies through UNESA have undoubtedly played a decisive role in shaping these aspects. In particular, it has been decided to designate marketers from these five groups as CUR and it has been provided that those clients who had not opted for any marketer would go directly to the CUR of the distributor's group, thereby contributing significantly to maintaining the status quo in domestic supply.  </w:t>
        <w:br/>
        <w:t xml:space="preserve">In its Report 34/2008 on the draft Royal Decree that initiates the last resort supply, dated December 2, 2008, the CNE expressed its disagreement with this designation of the CUR in the following terms:  </w:t>
        <w:br/>
        <w:t xml:space="preserve">“(...) a list of 5 CUR is determined that coincides with the 5 largest distributors. The choice of these 5 CUR is not justified in the information accompanying the RD proposal, nor is the exclusion of distributors covered by DT11 or other possible marketers.  </w:t>
        <w:br/>
        <w:t xml:space="preserve">It is considered that the process (...) should have been initiated, first, by establishing the remuneration of the CUR and determining the costs to be included in the TUR, and second, by requesting the status of candidates from all distributors to be CUR or, failing that, that the MITC had established such allocation. (...)”  </w:t>
        <w:br/>
        <w:t xml:space="preserve">The solution chosen, which coincides in this respect with the proposals of the main electricity groups, favors inertia in the market and has an effect equivalent to a distribution of clients (if they do not enter the market, the distributor's clients go to the CUR of the group). This makes it more difficult for new marketers to access the market and reduces the incentive to change suppliers.  </w:t>
        <w:br/>
        <w:t xml:space="preserve">The companies were aware of this fact and, as described in the Established Facts, one in particular warned of the risk of publicly adopting this position:  </w:t>
        <w:br/>
        <w:t xml:space="preserve">[CONFIDENTIAL] (folio 1137).  </w:t>
        <w:br/>
        <w:t>According to what was stated in the Previous Legal Basis, the application of Article 1 of the LDC to this coordination that effectively took place within UNESA among the electricity companies to influence the regulations in defense of their interests is not applicable. However, it must necessarily be taken into account as a determining factor of the legal-economic context in which the behaviors attributed by the DI in its proposal have developed.</w:t>
      </w:r>
    </w:p>
    <w:p>
      <w:r>
        <w:rPr>
          <w:b/>
        </w:rPr>
        <w:t>[Pages 55–57]</w:t>
      </w:r>
    </w:p>
    <w:p>
      <w:r>
        <w:t>the assumptions of the appeal are inconsistent with the proposal that the electricity companies themselves made regarding the Ministerial Order, which consisted of periodically sending the data to the marketing companies that requested it. 12) The assumptions of the appeal are inconsistent with the proposal that the electricity companies themselves made in the draft regulation concerning the Supplier Change Office, which was being prepared concurrently with the formalization of the complaint, which ultimately occurred in June 2008. 13) The companies did not provide a coherent explanation of what other issue they intended to deny to Centrica. In any case, the collective decision, adopted by its members, for UNESA to deny Centrica what it requested, under the described circumstances, constitutes a boycott as a form of retaliation. 14) Different parties allege the application of the principle of non bis in idem to the case because, in their opinion, some of the behaviors that make up the illicit conduct examined in this file, particularly the previous agreement to deny Centrica, would have already been sanctioned for abuse of dominant position in the proceedings that were processed against the distributors of these five groups due to Centrica's complaint (Expts. 641/08; 642/08; 643/08; 644/08 and 645/08). 15) The Council considers that from section 3 of the Proven Facts, it follows that in the present file, different facts and actions are analyzed than those dealt with in those. This is without prejudice to the fact that the individual behaviors analyzed there are related to the collusive behavior analyzed here due to having a similar purpose. However, there are substantial differences between those cases and this one. In the case at hand, the analyzed behavior directly involves the parent companies, while there the distributors were charged. It reveals a concordance of wills on the part of the five main electricity groups in the country, a concertation that, without a doubt, was not the object of the sanction imposed on the companies in the previously referenced files, hence the charge under Article 1 and not under Article 2 as in the case of those files. This concertation consists of agreements that do not only involve obstructing the entry of marketers into the market, as occurs with their unilateral actions. They also imply an artificial reduction of rivalry among the main operators that is not in accordance with what the development of competition under market conditions should be. 16) Thus, in this case, it is understood that the facts are distinct from those already judged in the referred files, attributed to different legal entities, and the legal interest affected by the conduct examined here presents, in the opinion of the Council and from a teleological point of view, differences. 17) After the initiation of the sanctions, between May and December 2007, the five electricity companies agreed, within UNESA, on the data required from marketers to access the SIPS. The five companies, aside from the CNE or the administration, decided to review the validation criteria for accessing information about supply points. In doing so, they jointly impose criteria that hinder access. At least since the approval of Royal Decree 1454/2005, the regulator's intention regarding the role to be played by the SIPS as an instrument to facilitate information and marketing for marketers and reduce the entry barriers they experience was evident. Hence the obligation of free and unconditional access, unless expressly opposed by the customer. The prior requirement of the CUPS agreed upon by the marketers collides with these principles and with the need for marketers to access it unconditionally. It should not be forgotten that the CUPS they intend to require is one of the data that must be included in the SIPS - to which the regulation intends to facilitate access for marketers - and that, as the parties themselves have argued, is equivalent to the customer's consent. Therefore, this coordination among the companies regarding the data to be required for access also has a restrictive purpose. 18) As stated in section 3 of the Proven Facts, the regulator doubles its efforts to facilitate access to the SIPS with Ministerial Order ITC/3860/2007, of December 28, whose Third Additional Provision explicitly states that distribution companies may not impose any conditions on access to and processing of this data. This is despite the fact that Royal Decree 1454/2005, unlike its predecessor, did not contemplate the possibility that access could be conditioned. And it is made clear that the intention of the OM in emphasizing this impossibility of conditioning access is "to facilitate access to these databases of supply points and to promote competition." 19) Again within UNESA, the companies coordinate to unanimously react to this initiative from the executive that contradicts the position they have adopted in common. Within UNESA, opposition to this order and the reasons that supposedly justify it are agreed upon. The companies, through UNESA, unfavorably inform the project, so that the Administration had the opportunity to know and assess their arguments of legality and that did not hinder, in the opinion of the Administration, the approval of the Order that occurred, as mentioned, in December. 20) The companies agree within UNESA to appeal Ministerial Order ITC/3860/2007 arguing that it violates the LOPD by not taking into account the possibility that the interested party expresses their refusal to provide data. 21) The possibility of asserting one's own rights in court and the judicial control that this implies is the expression of a general principle of law that is fundamental. Therefore, only in exceptional circumstances can the exercise of a judicial action constitute a violation of competition regulations. As some of the parties cite, in the case ITT Promedia NV against Commission (98/C 299/49 Judgment of the Court of First Instance of July 17, 1998 in case T-111/96, ITT Promedia NV against the Commission of the European Communities), criteria were established to determine the cases in which a judicial action may be anti-competitive. Although it was then a case of abuse, the Council understands that such criteria are equally valid for assessing a concerted action. This has been recognized by the National Court (SAN of July 22, 2010): "Competition rules can be applied to an agreement or unilateral conduct consisting of the filing of judicial actions with the aim of restricting competition. Jurisprudence indicates that this is possible if two cumulative criteria are met: first, that it cannot be reasonably considered that the judicial action aims to assert the rights of the company in question and that it is conceived within a plan aimed at eliminating competition." 22) The decision to appeal does not constitute an isolated fact, as the defendants intend for it to be analyzed, but rather one more of the actions that the electricity companies developed by common agreement to obstruct access to the SIPS with an anti-competitive purpose. It cannot be reasonably considered that the object of said appeal was the defense against a Ministerial Order because, supposedly, it made them incur in illegal actions. The common and seamless action of the five companies within UNESA seeks to reinforce the apparent legality of a conduct that actually aims to obstruct competitors' access to information that the regulation itself considers relevant for competing in the market. 23) The truth is that 1) The possibility of opposition from the customer that the OM supposedly ignored, violating the LOPD, was provided for in Royal Decree 1454/2005, fully in force. 2) There is evidence in the file that the appeal sought not to facilitate data to third parties, as described in Proven Fact Three. 3) With the appeal, the companies also seek to reinforce their defense in the competition files, as deduced from the notes of the meetings. 4) The LOPD is interpreted and appealed without first considering the opinion of the AEPD. Despite the fact that the legislative initiative was known in advance and that unconditional access to the SIPS had been demanded even before, the parties did not express their fears of a supposed violation of the LOPD before the AEPD. In fact, they requested an opinion in parallel to the filing of the appeal. 5) They also did not heed the opinion of other bodies, such as the CNE, which expressed a favorable opinion on Ministerial Order ITC/3860/2007. 6) Once the opinion of the AEPD, contrary to the position of the five electricity companies, was known, they did not withdraw the appeal and maintained their refusal to grant unconditional access to the data. 7) The internal emails described in section 3 of the Proven Facts imply the acknowledgment that with the appeal they are collectively defending a criterion that the companies themselves do not apply: they do not require the express consent of the customer for the transfer of data. 8) Agreeing to respond to access requests to the SIPS by referring to the appeal implies an implicit acknowledgment of the instrumental nature of the appeal. 9) The assumptions of the appeal are inconsistent with the proposal that the electricity companies themselves made when informing the Ministerial Order, which consisted of periodically sending the data to the marketing companies that requested it. 10) The assumptions of the appeal are inconsistent with the proposal that the electricity companies themselves made in the draft regulation concerning the Supplier Change Office, which was being prepared concurrently with the formalization of the complaint, which ultimately occurred in June 2008. 11) The companies did not provide a coherent explanation of what other issue they intended to deny to Centrica.</w:t>
      </w:r>
    </w:p>
    <w:p>
      <w:r>
        <w:rPr>
          <w:b/>
        </w:rPr>
        <w:t>[Pages 58–60]</w:t>
      </w:r>
    </w:p>
    <w:p>
      <w:r>
        <w:t xml:space="preserve">the position prevented them from proposing that the OM for the transfer of customers to the SUR provided that distributors transfer to the CUR of their group all the necessary historical information about the supply points, without the need to request express consent, a matter that has been reflected in the regulation.  </w:t>
        <w:br/>
        <w:t xml:space="preserve">The fact that the Audiencia Nacional, based on the claims of the appellants, provisionally suspended the OM does not invalidate the aforementioned, which, obviously, was not known to the reviewing body nor the matter being judged there.  </w:t>
        <w:br/>
        <w:t xml:space="preserve">In the autumn of 2008, the companies began coordinating the operational cut, coinciding in time with the preparation of observations to the draft OM on mechanisms for the transfer of customers to the SUR, which were reviewed in the Consultative Council of Electricity in November 2011. It is not recorded that the operators of the sector were made aware of the operational cut in that Council.  </w:t>
        <w:br/>
        <w:t xml:space="preserve">In February 2009, the scheduled dates for the cut were exchanged, information that, according to the note from the March 2009 meeting, would appear on the UNESA intranet (The dates scheduled by the distributors will be available to all agents on the Unesa intranet). Despite this advance notice, competing marketers were not informed about it until the first half of June. As the DI emphasizes, the Administration was also not warned of this fact, despite the frequent contact maintained with it on various issues and, in particular, on matters related to the transfer to the SUR.  </w:t>
        <w:br/>
        <w:t xml:space="preserve">The companies support their allegations, already summarized in the Fourth Legal Basis, in the reports from the MITyC and the CNE. The CNE, in the report sent at the request of the CNC within the framework of this file, states as a premise that it has no substantive objections regarding the content of the PCH, although it considers it necessary to convey to the CNC some essential clarifications that mainly refer to the operational cut and to the second of the analyzed behaviors.  </w:t>
        <w:br/>
        <w:t xml:space="preserve">Regarding the first point, the CNE highlights that during the processing of the aforementioned Order, it expressed some concern about the limited deadlines for the transfer. The CNE was aware of the operational complexity of the transfer required by the proposed regulation and proposed to regulate some aspects of it to facilitate the process. Ultimately, the Order was published just one week before the entry into force of the SUR and did not incorporate the recommendations that were in this direction. It adds that, “therefore, in this context of uncertainty, it is in which the decisions adopted by the different agents (distributors and last resort marketers) to organize, from an operational and systems perspective, the transfer of customers in accordance with the regulation must be analyzed.” It considers that “since these are temporary interruptions (of about 10-15 days) that do not evidently alter the right of consumers to change suppliers and that seem to be more related to the need to adapt the companies' computer systems (...) it is more difficult to understand their strategic purpose.” It states that it may be difficult to establish in the case of each distributor whether the duration and scope of the cuts were excessive or if they adhered to the strictly necessary technical times. It also mentions that the temporary closure of computer systems in other cases is a practice that has been observed with some frequency in relation to mass customer movements.  </w:t>
        <w:br/>
        <w:t xml:space="preserve">The companies have also alleged that due attention is not being paid to the response that the General Directorate of Energy Policy and Mines (DGPEM) sent at the request of the DI and, in particular, its statement that the conduct has no effects. The DGPEM states in its report the following:  </w:t>
        <w:br/>
        <w:t xml:space="preserve">“Therefore, it cannot be concluded that a specific situation, which occurs for a few days, motivated by a critical situation in the processes and programs of the companies, could pose a brake on the liberalization process and a final harm to independent marketers against the marginal benefit that opens up in this new stage of liberalization for these companies permanently in the future.”  </w:t>
        <w:br/>
        <w:t xml:space="preserve">Assuming that the cut was technically necessary, it is not understood why it was not raised in the multiple proposals or contacts that were maintained with the Administration nor why it was not made public prior to third parties. The information provided by the CNE demonstrates that on other occasions this was done (folios 6627 and 6628). This lack of foresight and transparency is even less understandable considering that Article 8.1 of Royal Decree 1435/2002 establishes the obligation for distributors to respond to requests for modification of the contracting method within a period of 5 working days. The temporary suspension in the processing of requests for change of marketer in BT is not contemplated as such in the regulation, as stated by the MITyC itself. Therefore, if it is truly necessary, given that there is an obligation to process requests within the deadline, the lack of foresight of this fact before the Administration is not understood.  </w:t>
        <w:br/>
        <w:t xml:space="preserve">The fact that after the precautionary measure issued by the CNC the companies ultimately did not apply such a suspension of operations or reduced its temporal scope questions its real necessity or, at least, the proportionality of what was initially announced.  </w:t>
        <w:br/>
        <w:t xml:space="preserve">In any case, this Council does not assess the necessity of the suspensions of processing requests and accepts the argumentation of the competent Administration. But it does question the lack of foresight, transparency, neutrality, and proportionality with which the companies acted in relation to third parties. Even if the cut was technically necessary, what is not justified is coordinating it among the companies within UNESA, informing each other and not informing independent marketers, who were also affected by the operational cut, with similar advance notice. This again implies coordinated action among the parties against third-party marketers. This action, regardless of its intent and the effect it ultimately had, has the potential to distort competition.  </w:t>
        <w:br/>
        <w:t xml:space="preserve">First, despite what the companies allege, the cut occurs at a particularly relevant time for the transition to the market, before the disappearance of tariffs and the migration of customers to the CUR. The data reveals an increase in requests during those months clearly linked, according to the CNE itself, to the implementation of the SUR, which practically doubled compared to the previous quarter (2,909 in the last quarter of 2008, 6,761 in the first quarter of 2009, and 12,135 in the second quarter of 2009).  </w:t>
        <w:br/>
        <w:t xml:space="preserve">Second, it represents another obstacle in the path of competitors who must overcome comparatively greater barriers to attract customers. Although the marketer may have already “captured” the customer when they submit the request for change to the distributor, as some parties allege, the fact that delays or vicissitudes occur, at the very least, affects the image that the customer receives of the marketer. This is especially relevant in the case of those marketers with a smaller presence in the market who are therefore in the process of building their brand image.  </w:t>
        <w:br/>
        <w:t xml:space="preserve">Third, the communications from the companies to the distributors announced something more than a delay in the management of processes. The email sent by Iberdrola on June 8, 2009, states:  </w:t>
        <w:br/>
        <w:t xml:space="preserve">“… from June 19, requests for transition to ML cannot be loaded. The portal will be open and those operations would be rejected. The rest of the operations will be active at all times. The situation will be like this until July 6.”  </w:t>
        <w:br/>
        <w:t xml:space="preserve">The email sent by Endesa on June 9 speaks of “suspending the management of Low Voltage operations between June 22 and July 3, 2009, both inclusive, EXCEPT for DISCONNECTIONS DUE TO END OF ACTIVITY which do not have an operational cut.”  </w:t>
        <w:br/>
        <w:t xml:space="preserve">The communication from Hidrocantábrico on June 22 states that due to the migration processes, only certain processes will be accepted and that the rest of the requests, including the transition from the regulated market to the free market, “will be rejected.”  </w:t>
        <w:br/>
        <w:t xml:space="preserve">It is also recorded in the file an email from June 24, 2009, which directly informs a marketer that their request has been rejected as a result of R.D. 485/2009, that the deadline for submitting requests was June 15, 2009, and that they can reprocess the request starting July 1, 2009.  </w:t>
        <w:br/>
        <w:t xml:space="preserve">In the best-case scenario, these communications will have increased the uncertainty referred to by the CNE and that will have affected independent marketers to a greater extent, who will not know very well what to expect or what information to convey to their customers. But not only that, it is a situation that can harm the image of the marketer and lead, at least potentially, to a loss of customers or undermine the effort to attract customers by marketers at a key moment, since on July 1, customers automatically transitioned to the CUR.  </w:t>
        <w:br/>
        <w:t xml:space="preserve">The DGPEM points out that these operational cut practices may have justification and that, given the benefits expected from liberalization, it cannot be concluded that there is a “final harm” to independent marketers.  </w:t>
        <w:br/>
        <w:t xml:space="preserve">This net benefit approach to the outcome of liberalization cannot be the one adopted when assessing the suitability of conduct to distort competition. The fact is that companies cannot consensually impose obstacles to third-party access in the markets in this liberalization process.  </w:t>
        <w:br/>
        <w:t>In any case, it should be noted that this practice was the subject of a complaint, the initiation of a sanctioning file, and prompted the prompt adoption of precautionary measures by the CNC, which the DI considers that the companies complied with properly. Therefore, in response to the companies' allegations in this regard, it is not expected that clear real effects of this practice will be appreciated in the market. Nonetheless,</w:t>
      </w:r>
    </w:p>
    <w:p>
      <w:r>
        <w:rPr>
          <w:b/>
        </w:rPr>
        <w:t>[Pages 61–63]</w:t>
      </w:r>
    </w:p>
    <w:p>
      <w:r>
        <w:t>agentes con los que se mantiene contacto se encuentran las empresas eléctricas, los</w:t>
        <w:br/>
        <w:t xml:space="preserve">grandes consumidores y las asociaciones que los representan.  </w:t>
        <w:br/>
        <w:t>En este contexto, la DI ha puesto de manifiesto que las empresas eléctricas, en el seno de</w:t>
        <w:br/>
        <w:t>UNESA, han llevado a cabo una serie de reuniones y contactos con el fin de coordinar sus</w:t>
        <w:br/>
        <w:t>posiciones en relación con la negociación de precios con grandes clientes. Esta</w:t>
        <w:br/>
        <w:t>coordinación ha tenido como objetivo asegurar que las empresas mantuvieran una</w:t>
        <w:br/>
        <w:t>posición común en las negociaciones, lo que podría haber limitado la competencia entre</w:t>
        <w:br/>
        <w:t xml:space="preserve">ellas en este segmento del mercado.  </w:t>
        <w:br/>
        <w:t>La existencia de estas reuniones y la naturaleza de los contactos realizados sugieren que</w:t>
        <w:br/>
        <w:t>las empresas eléctricas estaban buscando evitar una competencia efectiva en la</w:t>
        <w:br/>
        <w:t>negociación de precios, lo que podría haber llevado a un aumento de los precios para los</w:t>
        <w:br/>
        <w:t xml:space="preserve">grandes consumidores.  </w:t>
        <w:br/>
        <w:t>Por lo tanto, a juicio de este Consejo, la coordinación de las empresas eléctricas en el</w:t>
        <w:br/>
        <w:t>seno de UNESA en relación con la negociación con grandes clientes constituye una</w:t>
        <w:br/>
        <w:t>restricción de la competencia por su objeto y, en consecuencia, debe calificarse como una</w:t>
        <w:br/>
        <w:t xml:space="preserve">infracción única del art. 1 de la LDC y 101 del TFUE.  </w:t>
        <w:br/>
        <w:t>La duración de esta conducta se habría extendido desde mayo de 2007 hasta junio de 2009</w:t>
        <w:br/>
        <w:t>inclusive.</w:t>
      </w:r>
    </w:p>
    <w:p>
      <w:r>
        <w:rPr>
          <w:b/>
        </w:rPr>
        <w:t>[Pages 64–66]</w:t>
      </w:r>
    </w:p>
    <w:p>
      <w:r>
        <w:t xml:space="preserve">agents that are part of this sector are undoubtedly the associations that represent these agents, which in this case are UNESA and AEGE.”  </w:t>
        <w:br/>
        <w:t xml:space="preserve">However, such contacts do not have to lead to the replacement of individual autonomy to negotiate the specific commercial conditions of supply with each customer by a concerted will.  </w:t>
        <w:br/>
        <w:t xml:space="preserve">It is established that, since 2006, within UNESA, the companies debated and adopted common positions on the commercial conditions that should be set in negotiations with large customers when liberalization occurred. They did not limit themselves to promoting a new regulatory framework that implied the elimination of tariffs, but the coordination of the electricity companies within UNESA extended to what the commercial conditions for electricity supply contracts should be.  </w:t>
        <w:br/>
        <w:t xml:space="preserve">There are various documents in the file that outline the supply conditions that should apply to large customers regarding the price of energy (€50-55/MWh), the access tariff (estimated at what levels it should be set), the cost of interruptibility, the duration of contracts, and the updating of prices. These documents date back to 2006 and 2007. Once Royal Decree 871/2007 of June 29 was approved, the definition of conditions focused fundamentally on the G4 tariff, which would still exist after July 1, 2008. During this period, various meetings were held within UNESA, as cited in the Established Facts, at different levels, including the Directors' Committee, where periodic follow-up on this issue was conducted. The documents in the file dated 2008 corroborate that the electricity companies continued to coordinate within UNESA common positions on how to approach negotiations with large customers, although there are no longer documents that explicitly state commercial conditions set within UNESA that should be reflected in the contracts to be signed.  </w:t>
        <w:br/>
        <w:t xml:space="preserve">Price agreements and other commercial conditions among competitors are prohibited by Article 1 of the LDC and Article 101 of the TFEU. The fact that competitors in a market agree on the prices and conditions that should guide their negotiations with customers restricts competition among marketers, to the detriment of customers. It is not as the CNE suggests; the negotiation of conditions between suppliers and demanders constitutes the fundamental exercise of business freedom and should not be replaced by the concertation of these variables within an Association. Even less so in this case, where the competitors constitute the majority of the supply of a basic good, which means that by acting in coordination they have enormous negotiating power against customers and the ability to impose the conditions they set.  </w:t>
        <w:br/>
        <w:t xml:space="preserve">The fact highlighted in this case that AEGE was not deprived of resorting to generating companies individually or to third competitors does not prevent the restriction of competition if a large part of the market supply has unified such conditions – let us remember that the individually maintained contacts were discussed within UNESA – and they also intend for such conditions to extend to the rest of the generators, as the CNE itself points out.  </w:t>
        <w:br/>
        <w:t xml:space="preserve">The restrictive nature of this conduct is not mitigated by the fact that the companies agreed on these commercial conditions while tariffs still existed. On the one hand, because even though the tariff existed, large customers had the possibility to go to the market and be affected by the conditions set when negotiating with marketers. Secondly, because even in advance, the level of prices to be set for customers on the day the tariffs disappear is being indicated.  </w:t>
        <w:br/>
        <w:t xml:space="preserve">In short, the electricity companies committed an infringement of Article 1 of the LDC and Article 101 of the TFEU by setting within UNESA commercial supply conditions for large customers to be applied when they entered the market, thereby hindering competition in the supply of electricity to large customers.  </w:t>
        <w:br/>
        <w:t xml:space="preserve">The different companies have alleged legitimate trust in their actions, based on the fact that it was the MITyC that convened meetings, promoted negotiations, or provided UNESA with the guidelines that should govern contracting with AEGE.  </w:t>
        <w:br/>
        <w:t xml:space="preserve">As this Council has already pointed out (RCNC of April 26, 2011), “from the jurisprudential doctrine, it can be understood that the application of the principle of protection of legitimate trust in the context of the exercise of the sanctioning power of the CNC requires the concurrence of two basic prerequisites: 1) the existence of sufficiently conclusive external signs produced by the Administration and 2) that reasonably induce the company to trust in the legality of the administrative action and its anti-competitive behavior.”  </w:t>
        <w:br/>
        <w:t xml:space="preserve">The Council considers that in the present case such prerequisites do not concur.  </w:t>
        <w:br/>
        <w:t xml:space="preserve">It is not questioned here that the MITyC convened meetings with the different parties, as it has acknowledged, even that it provided certain guidelines on how to address the relationships between marketers and large customers during the transitional period.  </w:t>
        <w:br/>
        <w:t xml:space="preserve">But there is no evidence that it urged the companies to agree on conditions to be set for customers within UNESA, nor did it express to them at any time the legality of such conduct. The first documents in the file regarding the issue of contracting with large customers prepared by UNESA are made on their own initiative to defend the elimination of tariffs, and in them, additionally, the supply conditions for large customers are addressed.  </w:t>
        <w:br/>
        <w:t xml:space="preserve">As this Department has stated in its Report submitted as evidence:  </w:t>
        <w:br/>
        <w:t xml:space="preserve">“Therefore, the role of the MITyC was to undertake the process of eliminating the general high voltage tariffs responsibly in the exercise and execution of that process without assessing the specific conditions of the contracts of G-4 customers or any other type of customer, which are signed between the parties privately.”  </w:t>
        <w:br/>
        <w:t xml:space="preserve">In fact, in a large part of the documentation provided by the parties themselves, what is reflected is the Administration's concern about the significant increase in costs that the disappearance of the tariff could entail for the industry if prices were set at the levels that UNESA and the electricity companies indicated and to which AEGE showed clear rejection.  </w:t>
        <w:br/>
        <w:t xml:space="preserve">In any case, it is worth remembering that, as the TS stated in its Judgment of February 3, 2009, ratifying what was expressed by the National Court, the passivity of an administrative body or even the fact that it facilitates the conduct does not generate legitimate trust for the purposes that concern us, since they are not competent to determine which practices are contrary to free competition.  </w:t>
        <w:br/>
        <w:t xml:space="preserve">NINTH. Responsibility for the conduct  </w:t>
        <w:br/>
        <w:t xml:space="preserve">The Council agrees with the DI that the companies IBERDROLA, S.A., ENDESA, S.A., E.ON ESPAÑA S.L., GAS NATURAL SDG, S.A., and HIDROELÉCTRICA DEL CANTÁBRICO, S.A. are responsible for the infringing conduct. Contrary to what is stated in the allegations, the conduct does not only affect the distribution companies. Nor is the attribution of responsibility the result of a mere automatic application of Article 61.2.  </w:t>
        <w:br/>
        <w:t xml:space="preserve">From the narration of the Established Facts, it is deduced that the actions that constitute the infringing conduct take place in different Committees and Working Groups. Representatives from different units and even from different companies within each group participate in them, depending on the specialty. Sometimes the same issue is seen by several Committees from different points of view (legal and regulatory). Then, normally, the issues are elevated from the Commissions to the Directors' Committee where decisions are made and, ultimately, to the Board of Directors, where high representatives of the companies attend, even at the level of Chief Executive Officers. In all cases, the decisions made bind the group. In view of these decision-making mechanisms, it is logical to attribute responsibility to the parent company without having to dissect personal responsibilities within each company of the group.  </w:t>
        <w:br/>
        <w:t xml:space="preserve">Some of the agreements concern distribution issues. The parties argue that the parent company cannot be attributed conduct that affects distribution activity, especially when they are subject to a separation of functions obligation imposed by Article 14 of the LSE, compliance with which has not been challenged by any instance.  </w:t>
        <w:br/>
        <w:t xml:space="preserve">This allegation would only apply to the first of the conducts. However, although some of the practices are proposed or executed by the distributors, to the extent that such conduct relates to the disappearance of tariff supply and the transition of customers to the market, the main beneficiary is the marketing area, which does not enjoy functional separation from the parent company. On the other hand, the agreements have been adopted, endorsed, or acknowledged by instances that exceed the scope of distribution. The Established Facts show that it is not uncommon for issues related to the distribution area to be seen in the Directors' Committee and in the Board of Directors. Whether this violates or not the principle of functional separation is not the subject of analysis in this file.  </w:t>
        <w:br/>
        <w:t>UNESA must also be declared responsible for the two infringing conducts to the extent that it has facilitated them. Its contribution has been indispensable for the coordination of the companies within it and for the execution of most of the actions. Certainly, it does not act independently of the companies, but at their request. But at the same time, it constitutes the means on which collaboration is supported and instituted, and its intervention is decisive and has its own entity in the development of the conduct.</w:t>
      </w:r>
    </w:p>
    <w:p>
      <w:r>
        <w:rPr>
          <w:b/>
        </w:rPr>
        <w:t>[Pages 67–69]</w:t>
      </w:r>
    </w:p>
    <w:p>
      <w:r>
        <w:t xml:space="preserve">Against what the companies allege, the doctrine accepts that attribution to companies and associates is possible. The CJEU considers that there is no violation of the principle of non bis in idem when the Commission imposes a fine on an association formed by associations of companies, as well as on its members, due to their participation and the degree of responsibility of each in the infringement (judgment of December 18, 2008, France v. Commission).  </w:t>
        <w:br/>
        <w:t xml:space="preserve">Extrapolating the criteria of the TG (formerly TPI) in the Treuhand case (case T-99/04, AC-Treuhand AG / Commission) to this case, UNESA can be considered a co-author due to its facilitating role in the practice since (1) it actively contributed to the implementation of the conduct, with a sufficiently concrete and determining causal link between its activity and the conduct; and (2) it expressed its willingness to participate in the restrictive practice as it intended to contribute with its own behavior to the achievement of the common objectives pursued by all participants and was aware of the unlawful behaviors of the other participants or could reasonably have foreseen them and was willing to assume the risk (§134). Similar reasoning has led this Council to sanction not only the companies but also the Association within which the restrictive competition behaviors were developed, in the RCNC of March 2, 2011 (Expte S/0086/08. Professional Hairdressing).  </w:t>
        <w:br/>
        <w:t xml:space="preserve">Regarding the allegation of violation of the prohibition of concurrent sanctions, the Council understands that to the extent that in the file S/0051/08 UNESA's participation as a facilitator in a single and continuous infringement consisting of the adoption of a coordination strategy aimed at obstructing supplier changes was not analyzed, and that, as indicated in that resolution, the behaviors to be analyzed were different from those examined therein, it is not possible to appreciate the identity of facts, subject, and basis referred to in Article 133 of the LRJAP-PAC.  </w:t>
        <w:br/>
        <w:t xml:space="preserve">Finally, Gas Natural argues that it took control of Unión Fenosa on September 1, 2009, after the conduct. Until then, it was a competitor external to UNESA and, therefore, a potential victim. The DI incorrectly applies the doctrine of economic continuity as an exception to the principle of personal responsibility. Since ACS, the former parent company of Unión Fenosa Distribución, still exists, it is to it and not to Gas Natural that the conduct should be attributed. It cites as a precedent the Case C-279/98 Cascases S.A. v. Commission [2000], para. 78.  </w:t>
        <w:br/>
        <w:t xml:space="preserve">In the present case, we are not merely facing a change of control of a company. As described in the Established Facts, Gas Natural SDG, S.A. notified the exclusive takeover of Unión Fenosa S.A. (Expte C/0098/08 GAS NATURAL/UNIÓN FENOSA) to the CNC on September 3, 2008, an operation whose approval was subject to commitments by Resolution of the Council of the CNC of February 11, 2009. This operation consists of a merger by absorption that has led to the disappearance of Unión Fenosa S.A. as a legal entity, succeeded in its rights and obligations by Gas Natural SDG, S.A. Indeed, on September 4, 2009, the public deed of merger by absorption of the companies Unión Fenosa S.A. and Unión Fenosa Generación S.A. by Gas Natural SDG, S.A. was registered in the Commercial Registry, which has succeeded them in their rights and obligations. This is recorded in the Relevant Fact notified to the CNMV on September 3, 2009.  </w:t>
        <w:br/>
        <w:t xml:space="preserve">Therefore, it is not appropriate to accept the allegation of Gas Natural SDG, S.A., since Gas Natural SDG, S.A. has disappeared as such, being succeeded by it in its rights and obligations, including those arising from the present infringement.  </w:t>
        <w:br/>
        <w:t xml:space="preserve">TENTH. Calculation of the sanction  </w:t>
        <w:br/>
        <w:t xml:space="preserve">The two identified conducts constitute very serious infringements typified in Article 62.4 a) of the LDC. According to Article 63.c), very serious infringements may be sanctioned with a fine of up to 10 percent of the total turnover of the infringing company in the financial year immediately preceding the imposition of the fine.  </w:t>
        <w:br/>
        <w:t xml:space="preserve">The conducts affect competition in the electricity marketing markets in Spain. The first conduct refers to the market for domestic customers and SMEs, and the second to that of large customers. They are a basic input and markets in the process of liberalization, especially the first one at the temporal moment in which the conducts are situated. The MITyC itself refers in its Report presented as evidence before the Council that, although eligibility had been fully in effect in Spain since 2003 for domestic customers and since 2000 for industrial consumers, the degree of supplier change had been rather low. The disappearance of tariffs aimed to give an effective boost to the liberalization process, and this is the framework in which the conducts occur.  </w:t>
        <w:br/>
        <w:t xml:space="preserve">Regarding the market shares of the parties, the Report submitted by the CNE in the present file reveals the following:  </w:t>
        <w:br/>
        <w:t xml:space="preserve">“In the segment of high voltage consumers, who are active in seeking new suppliers and have high price elasticity, concentration has significantly decreased: in 2005 the HHI was 2681 and in 2009 it has dropped to 2021 (a variation of 659 points) and the joint share of the two largest companies has decreased from 69% to 50%. This is largely due to the entry of new competitors who, since 2008, coinciding with the start of the process of eliminating comprehensive tariffs, have been increasing their shares (between 2005 and 2007 the joint share of these companies was below or around 2%, in 2008 it exceeded 7% and in 2009 it reached almost 20% of this sub-market).”  </w:t>
        <w:br/>
        <w:t xml:space="preserve">Source: CNE  </w:t>
        <w:br/>
        <w:t xml:space="preserve">In 2009, the group of “others” reached almost 20% of the energy supplied in the high voltage sub-market. This particularly includes the following independent marketers: FORTIA (11.8%), CENTRICA (2.6%), ATEL ENERGÍA (2.5%), HISPAELEC (0.8%), NEXUS ENERGÍA (0.8%), ENERGY FACTORY GROUP (0.4%) and DETISA (0.3%).  </w:t>
        <w:br/>
        <w:t xml:space="preserve">Regarding the market for small customers, according to the data provided by the same CNE report, the market shares (by number of customers) of the five business groups associated with UNESA, in the retail electricity market, amounted in December 2009 to 99.91% of the electricity supply market.  </w:t>
        <w:br/>
        <w:t xml:space="preserve">Share in Low Voltage  </w:t>
        <w:br/>
        <w:t xml:space="preserve">(in terms of energy)  </w:t>
        <w:br/>
        <w:t xml:space="preserve">E.ON 2%  </w:t>
        <w:br/>
        <w:t xml:space="preserve">ENDESA 43%  </w:t>
        <w:br/>
        <w:t xml:space="preserve">H.CANTABRICO 3%  </w:t>
        <w:br/>
        <w:t xml:space="preserve">IBERDROLA 36%  </w:t>
        <w:br/>
        <w:t xml:space="preserve">U. FENOSA 15%  </w:t>
        <w:br/>
        <w:t xml:space="preserve">OTHERS 1%  </w:t>
        <w:br/>
        <w:t xml:space="preserve">TOTAL 100%  </w:t>
        <w:br/>
        <w:t xml:space="preserve">Both attributed conducts, subject to analysis in this file, have hindered the liberalization process of the national electricity supply market in recent years through various means and have the capacity to have effects on it.  </w:t>
        <w:br/>
        <w:t>Obstruction of consumer change</w:t>
      </w:r>
    </w:p>
    <w:p>
      <w:r>
        <w:rPr>
          <w:b/>
        </w:rPr>
        <w:t>[Pages 70–72]</w:t>
      </w:r>
    </w:p>
    <w:p>
      <w:r>
        <w:t xml:space="preserve">conduct described in the Sixth Legal Basis consisting of the obstruction of supplier change, raising entry barriers for independent marketers and reducing rivalry among the companies involved in the collusion, which contributes to maintaining the status quo.  </w:t>
        <w:br/>
        <w:t xml:space="preserve">This is a market where entry barriers are already very high. This is evidenced by the CNE in the report submitted:  </w:t>
        <w:br/>
        <w:t xml:space="preserve">“In the sub-market of domestic-commercial consumers, the incumbent operators maintain a competitive advantage over other competitors, which is manifested in the development of marketing activity primarily within the limits of the distribution area of the same group. This aspect is compounded by the tendency of these consumers to remain with the business group that supplied them before the market was liberalized, partly as a result of their previous relationship with the distributor (through bills, repairs, and other services), due to brand recognition, lack of information, and limited willingness to change suppliers, as well as the high costs of capillarity faced by new entrants to compete in this sub-market.”  </w:t>
        <w:br/>
        <w:t xml:space="preserve">The behaviors, to the extent that they hinder customers from switching to an independent marketer, reinforce market inertia and limit the effect of liberalization. The behaviors have had effects because they have contributed to raising the entry costs for marketers and making the change more difficult. However, their effect is confused with that of the pre-existing barriers and the regulation itself. With the regulatory changes of 2007 and 2008, the intention was to promote supplier change. However, the reality is that certain aspects of the regulation, some certainly coinciding with the proposals made by the companies at the time, have contributed to sustaining the pre-existing dynamics. In particular, the determination of the CUR and the transfer of customers to the CUR of the distributor's group.  </w:t>
        <w:br/>
        <w:t xml:space="preserve">In the case of the operational cut, moreover, the mere fact of the initiation of the file and the adoption of the precautionary measure diminished the effectiveness of the behavior.  </w:t>
        <w:br/>
        <w:t xml:space="preserve">All of the above leads to the conclusion that, given the special circumstances of this market, it cannot be concluded that the low share of third parties (less than 1%) and the stability in the shares over time is solely and exclusively a consequence of the observed behavior. Similarly, it cannot be presumed that every customer who was migrated to the CUR, given the approved regulatory framework, would have entered the market had the marketers been able to compete more vigorously in the absence of the behavior. Therefore, calculating the basic amount of the sanction based on the total turnover of the retail supply market to domestic-industrial customers would overestimate the turnover truly affected by the behavior given the distortion caused by the regulation in this case.  </w:t>
        <w:br/>
        <w:t xml:space="preserve">It is therefore appropriate to try to approximate the size of the part of the market most exposed to the behavior. It can be assumed that those customers who entered the market when the SUR came into effect were, among those affected by the behavior, the most predisposed to change and therefore could have responded to more active competition. This can lead us to consider as customers, at least, the equivalent of the energy that entered the market during the period between the second and third quarters supplied to domestic customers and SMEs.  </w:t>
        <w:br/>
        <w:t xml:space="preserve">The data from the Retail Market Supervision Reports published by the CNE is used to perform these calculations.  </w:t>
        <w:br/>
        <w:t xml:space="preserve">Evolution of energy (GWh) from domestic and SME consumption  </w:t>
        <w:br/>
        <w:t xml:space="preserve">2009 Domestic SMEs  </w:t>
        <w:br/>
        <w:t xml:space="preserve">t2 11,360 33,271  </w:t>
        <w:br/>
        <w:t xml:space="preserve">t3 13,315 37,571  </w:t>
        <w:br/>
        <w:t xml:space="preserve">t3-t2 1,955 4,300  </w:t>
        <w:br/>
        <w:t xml:space="preserve">We can calculate these amounts in value by multiplying them by the average price of the cost of energy billed to customers provided by the CNE in its market supervision report to calculate the affected sales volume and allocate it to each operator based on their market share in this retail market.  </w:t>
        <w:br/>
        <w:t xml:space="preserve">Affected sales volume by company  </w:t>
        <w:br/>
        <w:t xml:space="preserve">E.ON 2% €9,925,042.00  </w:t>
        <w:br/>
        <w:t xml:space="preserve">ENDESA 43% €213,388,403.00  </w:t>
        <w:br/>
        <w:t xml:space="preserve">H.CANTABRICO 3% €14,887,563.00  </w:t>
        <w:br/>
        <w:t xml:space="preserve">IBERDROLA 36% €178,650,756.00  </w:t>
        <w:br/>
        <w:t xml:space="preserve">U. FENOSA 15% €74,437,815.00  </w:t>
        <w:br/>
        <w:t xml:space="preserve">TOTAL 99% €491,289,579.00  </w:t>
        <w:br/>
        <w:t xml:space="preserve">Given that the infringement is very serious and affects the entire national market, it is appropriate to consider a percentage of 10% for the calculation of the basic amount of the sanction.  </w:t>
        <w:br/>
        <w:t xml:space="preserve">The Council considers that, in accordance with the proposal made by the DI, it should be considered as a mitigating factor in the case of Unión Fenosa that, although it participated in the coordination of the operational cut, it did not join the cut of the operations from regulated market to free market. This mitigating factor would amount to 5% of the sanction amount.  </w:t>
        <w:br/>
        <w:t xml:space="preserve">It is not considered that other mitigating factors should be taken into account, particularly those suggested by E.On. The size of the company is already taken into account in the calculation of the basic amount of the sanction and, as reasoned in the Eighth Legal Basis, the legitimate expectation budget does not apply nor do the other reasons alleged. Consequently, the amount of the sanctions to be imposed for this first behavior would be as follows.  </w:t>
        <w:br/>
        <w:t xml:space="preserve">Amount of the sanction for the first behavior  </w:t>
        <w:br/>
        <w:t xml:space="preserve">E.ON €992,000.00  </w:t>
        <w:br/>
        <w:t xml:space="preserve">ENDESA €21,338,000.00  </w:t>
        <w:br/>
        <w:t xml:space="preserve">H.CANTABRICO €1,488,000.00  </w:t>
        <w:br/>
        <w:t xml:space="preserve">IBERDROLA €17,865,000.00  </w:t>
        <w:br/>
        <w:t xml:space="preserve">U. FENOSA €7,071,000.00  </w:t>
        <w:br/>
        <w:t xml:space="preserve">€48,754,000.00  </w:t>
        <w:br/>
        <w:t xml:space="preserve">Setting prices and other commercial conditions for large customers  </w:t>
        <w:br/>
        <w:t xml:space="preserve">The behavior of setting conditions for large customers has the potential to have effects, both because it standardizes the negotiation conditions with customers and because it may contribute to discouraging customers from entering the market before the disappearance of the tariff.  </w:t>
        <w:br/>
        <w:t xml:space="preserve">When the tariff disappears in July 2008, the regulation provides for penalties if customers do not transition to the market. As in the previous case, it can be reasoned that this volume of energy corresponded to those customers who were at that time the most likely to change and, therefore, the most affected by the behavior. The percentage that was already in the market and had its contracts signed was not initially affected by the price level agreement within UNESA. Those others who, despite the regulatory change, did not move cannot plausibly be thought to have their decision to "exit" to the market significantly affected by the behaviors developed within UNESA. The energy that entered the market between the second and third quarters of 2008 is, therefore, a minimum estimate of the turnover that was most affected. This value is estimated based on the evolution of the volume of energy (GWh) supplied in the liberalized market and the percentage that large customers represent in it according to CNE data.  </w:t>
        <w:br/>
        <w:t xml:space="preserve">Evolution of the volume of energy (GWh) supplied to  </w:t>
        <w:br/>
        <w:t xml:space="preserve">Large Customers in the liberalized market in the network of  </w:t>
        <w:br/>
        <w:t xml:space="preserve">each group  </w:t>
        <w:br/>
        <w:t xml:space="preserve">2008 T2 T3 T3-T2  </w:t>
        <w:br/>
        <w:t xml:space="preserve">E.ON 1,157 1,919 762  </w:t>
        <w:br/>
        <w:t xml:space="preserve">ENDESA 27,385 36,644 9,258  </w:t>
        <w:br/>
        <w:t xml:space="preserve">H.CANTABRICO 1,563 2,193 630  </w:t>
        <w:br/>
        <w:t xml:space="preserve">IBERDROLA 28,643 35,217 6,574  </w:t>
        <w:br/>
        <w:t xml:space="preserve">U. FENOSA 7,568 10,620 3,053  </w:t>
        <w:br/>
        <w:t xml:space="preserve">TOTAL 66,316 86,593 20,277  </w:t>
        <w:br/>
        <w:t xml:space="preserve">We can calculate the affected sales volume by multiplying these amounts by the average price of the cost of energy billed to large customers provided by the CNE in its market supervision report for that year.  </w:t>
        <w:br/>
        <w:t xml:space="preserve">Affected sales volume  </w:t>
        <w:br/>
        <w:t xml:space="preserve">E.ON €43,411,200.00  </w:t>
        <w:br/>
        <w:t xml:space="preserve">ENDESA €527,717,400.00  </w:t>
        <w:br/>
        <w:t xml:space="preserve">H.CANTABRICO €35,910,000.00  </w:t>
        <w:br/>
        <w:t xml:space="preserve">IBERDROLA €374,740,800.00  </w:t>
        <w:br/>
        <w:t xml:space="preserve">U. FENOSA €174,003,900.00  </w:t>
        <w:br/>
        <w:t>The infringement is very serious and affects the entire national market. However, the arguments put forward by both MITyC and CNE in their reports regarding the special circumstances surrounding this price setting must be taken into account. In particular, the</w:t>
      </w:r>
    </w:p>
    <w:p>
      <w:r>
        <w:rPr>
          <w:b/>
        </w:rPr>
        <w:t>[Pages 73–74]</w:t>
      </w:r>
    </w:p>
    <w:p>
      <w:r>
        <w:t xml:space="preserve">the fact that customers had the opportunity to remain sheltered under the tariff that was in many cases subsidized, which was decisive in diminishing the effectiveness of the price-fixing agreements and other commercial conditions. Therefore, it is deemed appropriate to apply a percentage of 1% to the affected sales volume for the calculation of the penalty.  </w:t>
        <w:br/>
        <w:t xml:space="preserve">Amount of the penalty for the second conduct  </w:t>
        <w:br/>
        <w:t xml:space="preserve">E.ON €434,000  </w:t>
        <w:br/>
        <w:t xml:space="preserve">ENDESA €5,277,000  </w:t>
        <w:br/>
        <w:t xml:space="preserve">H.CANTABRICO €359,000  </w:t>
        <w:br/>
        <w:t xml:space="preserve">IBERDROLA €3,747,000  </w:t>
        <w:br/>
        <w:t xml:space="preserve">U. FENOSA €1,740,000  </w:t>
        <w:br/>
        <w:t xml:space="preserve">As for the UNESA Association, it is responsible for both conducts as a facilitator. The fine to be imposed must take into account the economic potential of the economic activity it represents and the scope and severity of the infringement. However, as indicated in the First Legal Basis, the penalty imposed on it must not exceed the maximum amount allowed in Article 10 of Law 16/89 for Associations, according to the interpretation given by doctrine. Therefore, a penalty of €500,000 is imposed on UNESA for the first conduct and €400,000 for the second.  </w:t>
        <w:br/>
        <w:t xml:space="preserve">For all the above reasons, in view of the cited provisions and other generally applicable ones, this Council of the National Competition Commission  </w:t>
        <w:br/>
        <w:t xml:space="preserve">HAS RESOLVED  </w:t>
        <w:br/>
        <w:t xml:space="preserve">FIRST. To declare that in the present file the existence of an infringement of Article 1.1 of Law 15/2007, of July 3, on the Defense of Competition, and of Article 101.1 of the Treaty on the Functioning of the European Union has been established, for which IBERDROLA, S.A., ENDESA, S.A., E.ON ESPAÑA S.L., GAS NATURAL SDG, S.A., and HIDROELÉCTRICA DEL CANTÁBRICO, S.A., and UNESA as facilitator are responsible, consisting of collusive conduct to obstruct the change of supplier in the market for the marketing of electricity to small customers developed between May 2007 and June 2009.  </w:t>
        <w:br/>
        <w:t xml:space="preserve">SECOND. To declare that in the present file the existence of an infringement of Article 1.1 of Law 15/2007, of July 3, on the Defense of Competition, and of Article 101.1 of the Treaty on the Functioning of the European Union has been established, for which IBERDROLA, S.A., ENDESA, S.A., E.ON ESPAÑA S.L., GAS NATURAL SDG, S.A., and HIDROELÉCTRICA DEL CANTÁBRICO, S.A., and UNESA as facilitator are responsible, consisting of collusive conduct of price-fixing and other commercial conditions for large customers in the market for the marketing of electricity between 2006 and 2008.  </w:t>
        <w:br/>
        <w:t xml:space="preserve">THIRD. To impose the following fines on the authors of the infringement:  </w:t>
        <w:br/>
        <w:t xml:space="preserve">- €26,615,000 to ENDESA, S.A.,  </w:t>
        <w:br/>
        <w:t xml:space="preserve">- €1,426,000 to E.ON ESPAÑA S.L.  </w:t>
        <w:br/>
        <w:t xml:space="preserve">- €8,811,000 to GAS NATURAL SDG, S.A.  </w:t>
        <w:br/>
        <w:t xml:space="preserve">- €1,847,000 to HIDROELÉCTRICA DEL CANTÁBRICO, S.A.  </w:t>
        <w:br/>
        <w:t xml:space="preserve">- €21,612,000 to IBERDROLA, S.A.  </w:t>
        <w:br/>
        <w:t xml:space="preserve">- €900,000 to UNESA.  </w:t>
        <w:br/>
        <w:t xml:space="preserve">FOURTH. To declare that the existence of an infringement of Article 1 of the LDC and Article 101 of the TFEU in relation to the adoption of a standard contract by the electric companies that are members of UNESA or regarding the proposal concerning the invoice has not been established.  </w:t>
        <w:br/>
        <w:t xml:space="preserve">FIFTH. To urge the DI to monitor compliance with this Resolution.  </w:t>
        <w:br/>
        <w:t>Communicate this Resolution to the DI of the National Competition Commission and notify the interested parties, informing them that there is no administrative appeal against it,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