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https://www.cnmc.es/expedientes/s016709</w:t>
      </w:r>
    </w:p>
    <w:p>
      <w:r>
        <w:t>Pages translated : 18</w:t>
      </w:r>
    </w:p>
    <w:p/>
    <w:p>
      <w:r>
        <w:rPr>
          <w:b/>
        </w:rPr>
        <w:t>[Pages 1–3]</w:t>
      </w:r>
    </w:p>
    <w:p>
      <w:r>
        <w:t xml:space="preserve">Id. Cendoj: 28079230062013100128  </w:t>
        <w:br/>
        <w:t xml:space="preserve">Body: National Court. Administrative Litigation Chamber  </w:t>
        <w:br/>
        <w:t xml:space="preserve">Headquarters: Madrid  </w:t>
        <w:br/>
        <w:t xml:space="preserve">Section: 6  </w:t>
        <w:br/>
        <w:t xml:space="preserve">Resolution No.:  </w:t>
        <w:br/>
        <w:t xml:space="preserve">Date of Resolution: 21/03/2013  </w:t>
        <w:br/>
        <w:t xml:space="preserve">Appeal No.: 659/2011  </w:t>
        <w:br/>
        <w:t xml:space="preserve">Jurisdiction: Administrative Litigation  </w:t>
        <w:br/>
        <w:t xml:space="preserve">Rapporteur: CONCEPCION MONICA MONTERO ELENA  </w:t>
        <w:br/>
        <w:t xml:space="preserve">Procedure: ADMINISTRATIVE LITIGATION  </w:t>
        <w:br/>
        <w:t xml:space="preserve">Type of Resolution: Judgment  </w:t>
        <w:br/>
        <w:t xml:space="preserve">Language:  </w:t>
        <w:br/>
        <w:t xml:space="preserve">Spanish  </w:t>
        <w:br/>
        <w:t xml:space="preserve">JUDGMENT  </w:t>
        <w:br/>
        <w:t xml:space="preserve">Madrid, on the twenty-first of March two thousand thirteen.  </w:t>
        <w:br/>
        <w:t xml:space="preserve">Having seen the administrative contentious appeal brought before the Administrative Litigation Chamber of the National Court by the Association of Artisans of Jerez and La Manzanilla, and in its name and representation by the Attorney Mr. Isidro Orquin Cedenilla, against the State Administration, directed and represented by the State Attorney, regarding the Resolution of the National Competition Commission dated October 6, 2011, concerning a sanction, with the Junta de Andalucía as Co-defendant, and the amount of this appeal being 24,000 euros.  </w:t>
        <w:br/>
        <w:t xml:space="preserve">FACTUAL BACKGROUND  </w:t>
        <w:br/>
        <w:t xml:space="preserve">FIRST: An administrative contentious appeal is filed by the Association of Artisans of Jerez and La Manzanilla, and in its name and representation by the Attorney Mr. Isidro Orquin Cedenilla, against the State Administration, directed and represented by the State Attorney, regarding the Resolution of the National Competition Commission dated October 6, 2011, requesting the Chamber to declare the nullity of the contested Resolution and with it the sanction.  </w:t>
        <w:br/>
        <w:t xml:space="preserve">SECOND: The administrative file was requested and received, and it was transferred to the appellant for them to submit a written demand within the legal deadline, which they did in due time and form, alleging the facts and legal grounds they deemed appropriate, and requesting what is literally stated in the written demand. Within the legal deadline, the defendant administration also submitted a written response to the demand, opposing the plaintiff's claim and alleging what it deemed appropriate for that purpose.  </w:t>
        <w:br/>
        <w:t xml:space="preserve">THIRD: Having requested the taking of evidence, the pertinent declarations were made, and the procedure for conclusions was completed, the case files were concluded and pending voting and judgment, for which it was agreed to set the date of March 20, 2013.  </w:t>
        <w:br/>
        <w:t xml:space="preserve">FOURTH: In the processing of this case, the legal provisions established in the Law of Administrative Litigation Jurisdiction, and in the other concordant and supplementary provisions thereof, have been observed.  </w:t>
        <w:br/>
        <w:t xml:space="preserve">LEGAL GROUNDS  </w:t>
        <w:br/>
        <w:t xml:space="preserve">FIRST: The object of the appeal in the case is the Resolution of the National Competition Commission dated October 6, 2011, by which a fine of 24,000 euros is imposed on the current appellant for having been proven to have committed an infringement of Article 1 of Law 16/1989 on the Defense of Competition and Article 101 of the TFEU.  </w:t>
        <w:br/>
        <w:t xml:space="preserve">SECOND: Before entering into the analysis of the substantive issue, we must recall the content of the operative part of the Resolution of the CNC that we are judging today:  </w:t>
        <w:br/>
        <w:t xml:space="preserve">"FIRST.- Declare the Federation of Wineries of the Jerez Region (FEDEJEREZ); the Association of Artisans of Jerez and La Manzanilla (ARJEMAN); AECOVI; the Association of Winegrowers of Cádiz (ASEVI-ASAJA); the Union of Farmers and Ranchers of Andalucía (UAGA-COAG); the Regulatory Council of the Designations of Origin Jerez-Xérès-Sherry, Manzanilla de Sanlúcar de Barrameda, and Vinegar of Jerez, and the Ministry of Agriculture and Fisheries of the Junta de Andalucía, responsible for an infringement of Article 1 of the LDC and Article 101 of the TFEU, for having carried out a concerted practice to fix the prices of grapes and must, contrary to said articles, during the period from April 1991 to at least March 2009.  </w:t>
        <w:br/>
        <w:t xml:space="preserve">SECOND.- Impose the following sanctions on the authors of the infringing conduct:...  </w:t>
        <w:br/>
        <w:t xml:space="preserve">- Association of Artisans of Jerez and La Manzanilla (ARJEMAN), a fine of 24,000€ (twenty-four thousand Euros). The federation FEDEJEREZ, in which it is integrated, is jointly liable for this amount;  </w:t>
        <w:br/>
        <w:t xml:space="preserve">THIRD.- Not sanction the Ministry of Agriculture and Fisheries of the Junta de Andalucía, for the reasons set out in the Twelfth Legal Ground.  </w:t>
        <w:br/>
        <w:t xml:space="preserve">FOURTH.- Archive the proceedings carried out against: the Agrarian Association of Young Farmers (ASAJA); the Association of Farmers and Ranchers of Cádiz (ASAJA-CADIZ), and the Union of Farmers and Ranchers (UAGA-COAG), for not having been proven to have committed the infringement analyzed in the file."  </w:t>
        <w:br/>
        <w:t xml:space="preserve">THIRD: From the proven facts, which the Chamber admits and which have not been disputed, we must highlight:  </w:t>
        <w:br/>
        <w:t xml:space="preserve">"Association of Artisans of Jerez and La Manzanilla (ARJEMAN), an association of wineries dedicated to the aging and marketing of wines from the Jerez Region protected by the D.O. Jerez-Xérès-Sherry and Manzanilla-Sanlúcar and Vinegar of Jerez, which has alternated periods of integration in FEDEJEREZ with periods of independence, currently, since 2006, integrated into FEDEJEREZ, although without its legal dissolution occurring (folio 490)....  </w:t>
        <w:br/>
        <w:t xml:space="preserve">Regulatory Council of the Designations of Origin Jerez-Xérès-Sherry, Manzanilla-Sanlúcar de Barrameda, and Vinegar of Jerez (Regulatory Council), is a Public Law Corporation that represents the interests of all professional sectors registered in its records: winemakers, bottlers, warehouse keepers, independent winegrowers, and cooperative members, and is legally entrusted with the protection of the designations of origin "Jerez-Xérès-Sherry" and "Manzanilla-Sanlúcar de Barrameda" through the Regulation of the Designations of Origin "Jerez-Xérès-Sherry" and "Manzanilla de Sanlúcar de Barrameda" (folios 2,192 to 2,214).  </w:t>
        <w:br/>
        <w:t xml:space="preserve">The fundamental governing body of the Regulatory Council is the Plenary, which represents each and every one of the professional sectors of the Designation of Origin, being composed of one person holding the Presidency, one person holding the Vice-Presidency, ten members representing the producers, freely elected by the winegrowers registered in the Vineyard Registry during the previous campaign, and another ten members representing the processing-marketing sector, freely elected by the wineries registered in the corresponding Registries of the Regulation of the Designations of Origin "Jerez-Xérès-Sherry" and "Manzanilla-Sanlúcar de Barrameda" and of the D.O. Vinegar of Jerez. The Plenary is renewed every four years, through voting among the registered operators.  </w:t>
        <w:br/>
        <w:t xml:space="preserve">Currently, the Regulatory Council is governed by the new Regulation of the Designations of Origin "Jerez-Xérès-Sherry" and "Manzanilla Sanlúcar de Barrameda," approved by Order of May 13, 2010, of the Ministry of Agriculture and Fisheries of the Junta de Andalucía. By Order of the Ministry of Agriculture and Fisheries of May 25, 2010, the Junta de Andalucía has called elections for the Regulatory Councils of Andalucía, which took place on September 3, 2010, according to information provided by the Regulatory Council."  </w:t>
        <w:br/>
        <w:t xml:space="preserve">The cited Resolution continues:  </w:t>
        <w:br/>
        <w:t xml:space="preserve">"13. On April 23, 1991, the members of the so-called "Jerez Table" agreed on the Reconversion Plan for the Jerez Region (also called the Jerez Plan). The Agreement was signed by AECOVI (which signs as AECOVI-FECOAGA), ASEVI-ASAJA, FEDEJEREZ, and an Association called APYME-CEJ not charged and of which there is no subsequent information.  </w:t>
        <w:br/>
        <w:t xml:space="preserve">14. This Plan, which was sent to the Secretary General of the Regulatory Council on the same date of its signing, had a temporary validity of four years, covering from the 1991/1992 campaign to the 1994/1995 campaign and included three agreements:  </w:t>
        <w:br/>
        <w:t xml:space="preserve">1. Agreement for the control of quality at origin.  </w:t>
        <w:br/>
        <w:t xml:space="preserve">2. Agreement on sales quotas.  </w:t>
        <w:br/>
        <w:t xml:space="preserve">3. Agreement for the absorption of harvest, productions, prices, and deadlines.  </w:t>
        <w:br/>
        <w:t>15. In relation to this third agreement, minimum prices per kilogram of grapes and per liter of must were set according to whether the grapes came from Jerez Superior, Albarizones, or the Rest.</w:t>
      </w:r>
    </w:p>
    <w:p>
      <w:r>
        <w:rPr>
          <w:b/>
        </w:rPr>
        <w:t>[Pages 4–6]</w:t>
      </w:r>
    </w:p>
    <w:p>
      <w:r>
        <w:t>of Zone, with an annual increase between 4% and 5%, set as follows (folio 2,071):</w:t>
      </w:r>
    </w:p>
    <w:p>
      <w:r>
        <w:t>"2.2 The prices set as minimum prices are: (s.e.u.o)</w:t>
        <w:br/>
        <w:t>Jerez Superior</w:t>
        <w:br/>
        <w:t>as a reference: 1991 1992 1993 1994</w:t>
        <w:br/>
        <w:t>Kilogram of grapes 40.25 42.25 44.25 46.25</w:t>
        <w:br/>
        <w:t>500 L Piquera 29,340 31,000 32,470 33,940</w:t>
        <w:br/>
        <w:t>" Deslío 35,820 37,600 39,380 41,160</w:t>
        <w:br/>
        <w:t>Albarizones</w:t>
        <w:br/>
        <w:t>Kilogram of grapes 37.43 39.29 41.15 43.01</w:t>
        <w:br/>
        <w:t>500 L Piquera 27,750 29,120 30,500 31,880</w:t>
        <w:br/>
        <w:t>" Deslío 33,780 35,460 37,140 38,820</w:t>
        <w:br/>
        <w:t>Rest of Zone</w:t>
        <w:br/>
        <w:t>Kilogram of grapes 35.22 36.88 38.72 40.47</w:t>
        <w:br/>
        <w:t>500 L Piquera 26,250 27,550 28,860 30,160</w:t>
        <w:br/>
        <w:t>" Deslío 32,120 33,710 35,310 36,900".</w:t>
      </w:r>
    </w:p>
    <w:p>
      <w:r>
        <w:t>16. In this agreement, the following was also specified (folio 2,072):</w:t>
      </w:r>
    </w:p>
    <w:p>
      <w:r>
        <w:t>"(...) The prices and payment conditions set will be incorporated into the corresponding standard contracts for each of the four years of the Restructuring Plan within the framework of the corresponding Interprofessional Agreement."</w:t>
      </w:r>
    </w:p>
    <w:p>
      <w:r>
        <w:t>17. Following the signing, in April 1991, of this Plan, the Ministry of Agriculture, Fisheries, and Food published two Ministerial Orders in September 1991 and two more in September 1992 homologating the standard contract for the purchase and sale of grapes and must for the production of wine with the D.O. of Marco de Jerez for the 1991-92 and 1992-93 campaigns, respectively, which included a section regarding the minimum prices to be paid by the buyer that coincided with those set in the Restructuring Plan previously signed by the aforementioned Associations of the Marco de Jerez (folios 2,155 to 2,161).</w:t>
      </w:r>
    </w:p>
    <w:p>
      <w:r>
        <w:t>18. The file contains documentation stating that after the previous Restructuring Plan of the Marco de Jerez, the price of grapes and must was again negotiated and set in a sectoral agreement for the campaigns 1997/1998 to 2000/2001."</w:t>
      </w:r>
    </w:p>
    <w:p>
      <w:r>
        <w:t>And the proven facts continue:</w:t>
      </w:r>
    </w:p>
    <w:p>
      <w:r>
        <w:t>"35. The aforementioned document titled "STRATEGIC PLAN FOR THE MARCO DE JEREZ" included, among others, the following measures (folios 214 to 222):</w:t>
      </w:r>
    </w:p>
    <w:p>
      <w:r>
        <w:t>"(...) A price agreement for grapes is established, for 4 years, starting from 57 ptas./kg. for qualified grapes, with an annual increase of 3.5% or CPI (whichever is greater).</w:t>
        <w:br/>
        <w:t>A price agreement for barrels destined for vinegar is established for 4 years starting from 35,000 ptas./barrel, with an annual increase of 3.5% or CPI (whichever is greater).</w:t>
        <w:br/>
        <w:t>A price agreement for unqualified grapes is established for 4 years, starting from 39 ptas./kg. for Table Wine, applying 3.5% or CPI (whichever is greater).</w:t>
        <w:br/>
        <w:t>A price agreement for unqualified must is established for 4 years, starting from 32,000 ptas./barrel for Table Wine, applying 3.5% or CPI (whichever is greater)."</w:t>
      </w:r>
    </w:p>
    <w:p>
      <w:r>
        <w:t>36. The document included, under the heading "BASES FOR THE ECONOMIC CALCULATION OF THE STRATEGIC PLAN," the price for each campaign, with an annual increase of 3.5% (which would be the lowest possible increase) for the Jerez Superior area and a 90-day term, specifying for grapes (folio 217):</w:t>
      </w:r>
    </w:p>
    <w:p>
      <w:r>
        <w:t>"Price agreement for qualified grapes from Jerez Superior for 4 years (calculation base 3.5% which would be modified upwards if the CPI were higher):</w:t>
        <w:br/>
        <w:t>2002: 57 ptas./Kg.</w:t>
        <w:br/>
        <w:t>2003: 59 ptas./Kg.</w:t>
        <w:br/>
        <w:t>2004: 61 ptas./Kg.</w:t>
        <w:br/>
        <w:t>2005: 63.20 ptas./Kg. (...)."</w:t>
      </w:r>
    </w:p>
    <w:p>
      <w:r>
        <w:t>37. The calculation of the price to be applied in each campaign for Jerez must was also included, applying a formula based on the price of Jerez grapes, a transformation margin, and the CPI to be applied (folio 217).</w:t>
      </w:r>
    </w:p>
    <w:p>
      <w:r>
        <w:t>38. Finally, on September 2, 2002, the "Strategic Plan for the Marco de Jerez" was signed by the CAP, AECOVI, ASEVI-ASAJA, UAGA-COAG CÁDIZ, FEDEJEREZ, ARJEMAN, and the Regulatory Council (folios 957 to 964, 1,091 to 1,098, and 1,145 to 1,152), with a duration of four years, from the 2002/2003 to 2005/2006 campaigns.</w:t>
      </w:r>
    </w:p>
    <w:p>
      <w:r>
        <w:t>39. The Strategic Plan established a price pact for qualified grapes, qualified must, barrels of must destined for vinegar, unqualified grapes, and unqualified must from Jerez, with an annual increase of 3.5% or the CPI (whichever is greater), as well as a series of other measures related to the reduction of stocks to adjust supply and demand, the maintenance of the viticultural heritage of the Marco de Jerez, or the assistance of the Ministry of Agriculture and Fisheries of the Junta de Andalucía to facilitate the adjustment.</w:t>
      </w:r>
    </w:p>
    <w:p>
      <w:r>
        <w:t>40. In point 2 of the Plan, "Measures of the Strategic Plan corresponding to the sectoral agreement of the organizations of the Marco de Jerez," the following are highlighted, included in the articles related to the price agreements detailed below:</w:t>
      </w:r>
    </w:p>
    <w:p>
      <w:r>
        <w:t>"(...) i) A price agreement for qualified grapes from Jerez Superior is established for four years, starting from 342.58 Euros/Tm. for qualified grapes and the price for unqualified grapes would be 234.39 Euros/Tm., with an annual increase of 3.5% or the CPI (whichever is greater). For Albarizones and Rest of Production Zone, the price will be percentage-based as is customary in the Marco. Prices are understood to be on a 90-day term.</w:t>
        <w:br/>
        <w:t>j) A price agreement for qualified must from Jerez Superior is established for four years, starting from 268.64 Euros/barrel [(price of qualified grapes x 714) + 24.04 Euros/barrel (transformation margin) + 3.5% or CPI (whichever is greater)]. For Albarizones and Rest of Zone, the price of the qualified grapes involved in the formula will be percentage-based as is customary in the Marco. Indeed, the price of the must, as indicated, consists of a part proportional to the price of the grapes and another fixed part corresponding to the transformation margin, which will be the same regardless of whether the grapes come from Albarizones or from the Zone. Prices are understood to be on a 90-day term.</w:t>
        <w:br/>
        <w:t>k) A price agreement for barrels of must destined for vinegar is established for four years starting from 210.35 Euros/barrel, with an annual increase of 3.5% or the CPI (whichever is greater).</w:t>
        <w:br/>
        <w:t>l) A price agreement for unqualified grapes is established for four years starting from 0.23 Euros/kg., with an annual increase of 3.5% or the CPI (whichever is greater).</w:t>
        <w:br/>
        <w:t>m) A price agreement for unqualified must is established for four years starting from 192.32 Euros/barrel for table wine, with an annual increase of 3.5% or the CPI (whichever is greater).</w:t>
        <w:br/>
        <w:t>o) The price for the barrel of Rectified Concentrated Must will be the market price. For reference purposes, the barrel of must destined for Rectified Concentrated Must will be 132.22 Euros/barrel (...)."</w:t>
      </w:r>
    </w:p>
    <w:p>
      <w:r>
        <w:t>41. This Strategic Plan contemplated the collaboration of the CAP in the development of said agreement "(...) as long as all commitments agreed upon by the sectoral organizations of the Marco are fulfilled (...)" and the creation of a Monitoring Committee, chaired by the Secretary General of Agriculture and Livestock and composed of a representative from each of the signing organizations - AECOVI, ASEVI-ASAJA, UAGA-COAG CÁDIZ, ARJEMAN, and FEDEJEREZ - and as an invitee, a representative of the Regulatory Council. The CAP is assigned the task of arbitration in the event of disparities that may arise regarding the interpretation of the adopted sectoral agreements and the compliance with the bases of the Strategic Plan."</w:t>
      </w:r>
    </w:p>
    <w:p>
      <w:r>
        <w:t>And it is added:</w:t>
      </w:r>
    </w:p>
    <w:p>
      <w:r>
        <w:t>"53. Throughout the year 2004, the agreements adopted in the Strategic Plan regarding the prices of grapes and must from Jerez were maintained and applied by the signing entities, as deduced from the document prepared by the Ministry of Agriculture and Fisheries of the Junta de Andalucía on the Strategic Plan for the Marco de Jerez 2002-06, which reviewed the 2003/2004 campaign, stating literally that "the price agreement for grapes and must established in the Plan has been generally fulfilled" (folio 225)."...</w:t>
      </w:r>
    </w:p>
    <w:p>
      <w:r>
        <w:rPr>
          <w:b/>
        </w:rPr>
        <w:t>[Pages 7–9]</w:t>
      </w:r>
    </w:p>
    <w:p>
      <w:r>
        <w:t>75. The proposal that was ultimately signed by FEDEJEREZ, AECOVI, and ARJEMAN was the one contemplated in point 4.4 of the cited minutes, as stated in an email that FEDEJEREZ sent to the wineries (folios 440 to 442):</w:t>
      </w:r>
    </w:p>
    <w:p>
      <w:r>
        <w:t>"(...) As a continuation of our communication of September 12, today the deadline agreed upon in the Monitoring Committee expired, and given the decision of ASAJA and UAGA not to adhere to the first proposal, following the mandate of this Executive Committee, we have proceeded to sign the second alternative (which we attach) and which was also approved by our Executive Committee in the September meeting. We have called a press conference to counter the versions of the non-signatories and to reiterate that the Strategic Plan has been denounced, that the complaint has been accepted by the Monitoring Committee and, therefore, the Agreements contained therein NO LONGER HAVE ANY VALIDITY TODAY. Following the strategy agreed upon by the Executive Committee, the reference price does not exist and is therefore left to the necessary agreement between seller and buyer. If there is any indicative price, it may be taken from the Agreement set today with Cooperatives, which is 56 ptas/kg of grapes."</w:t>
      </w:r>
    </w:p>
    <w:p>
      <w:r>
        <w:t>76. According to the documentation incorporated into the file, this Sectoral Agreement between FEDEJEREZ, AECOVI, and ARJEMAN was sent to the General Secretariat of Agriculture and Livestock of the CAP, with a copy to the Director General of Agro-food Industries and Promotion and to the Delegate of Agriculture of the Junta de Andalucía in Cádiz on September 16, 2005. (folios 436 to 439).</w:t>
      </w:r>
    </w:p>
    <w:p>
      <w:r>
        <w:t>To continue:</w:t>
      </w:r>
    </w:p>
    <w:p>
      <w:r>
        <w:t>95. During the meeting of the Executive Committee of FEDEJEREZ on July 24, 2006, the attendees were informed about the meeting scheduled between the parties involved in the negotiations that same day, for the signing of the agreement for the 2006 and 2007 campaigns, as reflected in point 2 of the minutes (folios 137 to 141):</w:t>
      </w:r>
    </w:p>
    <w:p>
      <w:r>
        <w:t>"(...) Negotiation Harvest 2006, it is reported that an agreement is expected to be reached with all the subsectors involved in the negotiations, being convened for 2:00 PM today."</w:t>
      </w:r>
    </w:p>
    <w:p>
      <w:r>
        <w:t>96. As stated in two emails dated July 24 and 25, 2006, that the Director of FEDEJEREZ sent to the federation members, on July 24, 2006, the agricultural organizations signed the agreement for the 2006 and 2007 harvests, setting the price of Jerez superior grapes and must (folios 253 to 257):</w:t>
      </w:r>
    </w:p>
    <w:p>
      <w:r>
        <w:t>"As a continuation of the meeting held with the other organizations that has just concluded, attached is the agreement signed by all organizations that concludes the negotiations carried out in recent months and provides stability for the next two years."</w:t>
      </w:r>
    </w:p>
    <w:p>
      <w:r>
        <w:t>"As a continuation of the email sent yesterday, we are resending the Annex of the signed Agreement, which contained defects in some operations. We also attach a table with the prices for 2006-2007."</w:t>
      </w:r>
    </w:p>
    <w:p>
      <w:r>
        <w:t>97. The signing of the agreement and the agreed prices were communicated by FEDEJEREZ to the media, indicating in the press release sent by it the following (folios 537 and 538):</w:t>
      </w:r>
    </w:p>
    <w:p>
      <w:r>
        <w:t>"This morning an agreement has been reached among the organizations represented in the Framework, for the determination of the price of grapes for the next two campaigns. (...) The agreement is a continuation of the agreements reached for last year and establishes as general principles, a grape price of 61 Ptas. for 2006 and 61.5 Ptas. for 2007, which includes 1.50 and 1 Ptas. respectively for a fund that will be used for the management of surpluses via diversification. This press release is joint and endorses the agreements reached by the organizations AECOVI, ASEVI-ASAJA, FEDEJEREZ, and UAGA-COAG, in the person of their presidents, (...)."</w:t>
      </w:r>
    </w:p>
    <w:p>
      <w:r>
        <w:t>98. On July 25, 2006, the Director General of FEDEJEREZ communicated to the Secretary General of Agriculture and Livestock of the Ministry of Agriculture and Fisheries the agreement reached among the organizations of the Jerez Framework (folio 544):</w:t>
      </w:r>
    </w:p>
    <w:p>
      <w:r>
        <w:t>"I attach the documents that reflect the agreements reached yesterday by all the Organizations of the Framework, which represent an important change in the inertia of the Sector, guaranteeing a two-year stability and reaffirming principles as necessary as stability in the price of grapes, the fund for diversification, and the need to strengthen the product in the market through promotion. We bring all this to your attention, trusting that an Agreement of such characteristics will be understood, supported, and reinforced by all instances of the Ministry of Agriculture and Fisheries of the Junta de Andalucía."</w:t>
      </w:r>
    </w:p>
    <w:p>
      <w:r>
        <w:t>99. On July 31, 2006, a new Sectoral Agreement was signed between ASEVI-ASAJA, AECOVI, FEDEJEREZ, and UAGA-COAG CÁDIZ, for the 2006/2007 and 2007/2008 campaigns, to continue the agreements adopted in the Strategic Plan of 2002, as stated in the agreement itself. It set the price for both grapes and must of the Jerez Superior, Albarizones, and Zone categories, in this case for the 2006 and 2007 campaigns, and also established, for both harvests, a Fund for diversification in order to manage surpluses, through the payment into the Regulatory Council of a certain amount per grape for which qualification was requested, except for grapes with vertical integration (folios 1,154 to 1,156).</w:t>
      </w:r>
    </w:p>
    <w:p>
      <w:r>
        <w:t>100. Specifically, and related to the setting of the price of the raw material, the agreement established:</w:t>
      </w:r>
    </w:p>
    <w:p>
      <w:r>
        <w:t>"(...) A) For the 2006 harvest: (...) 2. Set the price of Jerez superior grapes at 61 ptas/kg. (366.62 €/Tn) and its equivalent per barrel of must at 47,982.62 Ptas. (288.39 €). (...) B) For the 2007 harvest: (...) 2. Set the price of Jerez superior grapes at 61.5 ptas/kg. (369.62 €/Tn) and its equivalent per barrel of must (...)."</w:t>
      </w:r>
    </w:p>
    <w:p>
      <w:r>
        <w:t>FOURTH: The issue to be determined is whether the appellant has incurred in acts constitutive of a very serious infringement of Article 1 of the LDC and 101 of the TFEU, due to the continued anticompetitive conduct consisting of the adoption of agreements for the price fixing of Jerez grapes and must during the period from April 1991 to March 2009. The first issue raised is related to the competence of the CNC, which it reasons in the contested Resolution as follows:</w:t>
      </w:r>
    </w:p>
    <w:p>
      <w:r>
        <w:t>"All the parties accused allege lack of jurisdiction of the CNC as well as no effect on community exchanges and therefore no application of Article 101 of the TFEU. We will first analyze the possibility of affecting community trade, since if the conduct is subject to community regulations, as provided in Article 3 of Council Regulation 1/2003 of December 16, 2002, regarding the application of the competition rules provided in Articles 81 and 82 of the Treaty, it is unnecessary to enter into the analysis of the allocation at the national level since Law 1/2002 in its Article 1, point 5, exclusively attributes to the State, among others, the competence for "The application in Spain of Articles 81 and 82 of the Treaty of the European Community and its derived law...", therefore the CNC has exclusive competence to judge those conducts to which community regulations apply according to the aforementioned Council Regulation 1/2003.</w:t>
      </w:r>
    </w:p>
    <w:p>
      <w:r>
        <w:t>The DI maintains and this Council agrees that the conducts analyzed in this file, although geographically confined to a territory in the province of Cádiz, since they involve operations among the agents of the Jerez Framework, all of them, producers and processors located in that area, have the capacity to affect community exchanges because the joint price agreements between producers and winemakers can appreciably affect "trade between Member States," since the grapes and must of Jerez, subject to price fixing, are the raw material with which the various Jerez wines are produced, whose main destination is export, primarily to EU countries, as stated in the viability plan of the Jerez framework 2010-2013, which is included in the file, according to which, "The wines produced in the area have as their main destination export, which absorbs a large majority of the marketed volume." Some of the accused argue that the impact of an increase in the price of grapes on the final price of the product produced, which is the one ultimately shipped to European countries, is minimal. But we must not forget that we are facing an infringement by object, which in itself has the capacity to affect competition in the corresponding area and in this case, also in Europe. The greater or lesser impact of the price of the raw material, subject to the agreement, on the final price may be considered at the time of sanction but cannot be taken into account at an initial stage of the instruction, when the allocation among competent authorities is being addressed.</w:t>
      </w:r>
    </w:p>
    <w:p>
      <w:r>
        <w:t>Having concluded that the conducts have the capacity to affect intra-community trade and that therefore, by virtue of the aforementioned Regulation 1/2003, they are subject to and must apply community regulations, the allocation of the case between the Commission and the National Authorities under the criterion of the better-situated authority is addressed in the network of European Authorities, in accordance with the criteria established in the European Commission's Communication on cooperation in the Network of Competition Authorities.</w:t>
      </w:r>
    </w:p>
    <w:p>
      <w:r>
        <w:rPr>
          <w:b/>
        </w:rPr>
        <w:t>[Pages 10–12]</w:t>
      </w:r>
    </w:p>
    <w:p>
      <w:r>
        <w:t>(D.O.U.E. of April 27, 2004), and there is nothing to say in this Resolution. Although it is evident that it has been considered that the authority best positioned to analyze the offenses addressed in this file is the CNC."</w:t>
        <w:br/>
        <w:t>The Chamber shares these statements.</w:t>
        <w:br/>
        <w:t>Indeed, the Court of Luxembourg has had the opportunity to address the issue of the impact of raw materials on the final product for competition purposes. We can cite the following statements:</w:t>
        <w:br/>
        <w:t>"It is necessary to examine whether the agreements in question can restrict competition and affect trade between Member States.</w:t>
        <w:br/>
        <w:t>The agreement in question, by sanctioning any increase in production, tends to immobilize the existing situation, hindering the possibilities of improving the competitive position of the producer in the market. Therefore, it may lead to restrictions of competition among producers.</w:t>
        <w:br/>
        <w:t>Although it is true that the agreement refers to the spirit used in the manufacture of cognac, that is, to a semi-finished product that is normally not dispatched outside the production region, this product constitutes the raw material of another product, cognac, marketed throughout the Community. Therefore, agreements that impose the payment of contributions in case of excess over the marketable quotas may affect exchanges between Member States.</w:t>
        <w:br/>
        <w:t>It follows that the aforementioned interprofessional agreement is prohibited by paragraph 1 of Article 85 of the Treaty." (Judgment of December 3, 1987, case 136/1986)</w:t>
        <w:br/>
        <w:t>"142 First, it is necessary to respond to the first two allegations that, according to the jurisprudence of this Court of Justice (see the judgment of January 30, 1985, BNIC, 123/83, Rec. p. 391), any agreement that has as its object or effect the restriction of competition through the fixing of prices of a semi-finished product may affect intra-Community trade, even if the semi-finished product itself is not the subject of exchange between Member States, when it constitutes the raw material of another product marketed somewhere in the Community. In the present case, it should be noted that wood pulp represents between 50% and 75% of the cost of paper and that, under these circumstances, there is no doubt that the agreement reached regarding the prices of pulp had repercussions on the exchanges of paper between Member States.</w:t>
        <w:br/>
        <w:t>143 Likewise, the third allegation of the members of the KEA, based on the minor importance of their market share, must be dismissed. In this regard, it should be recalled that, as this Court of Justice has stated on several occasions (see, for example, the judgment of June 7, 1983, Musique Diffusion française, joined cases 100/80 to 103/80, Rec. p. 1825), for an agreement to affect trade between Member States, it must be considered with a sufficient degree of probability, based on a set of objective factual or legal elements, that it can exert a direct or indirect, real or potential influence on the flows of exchanges between Member States, in such a way that it could harm the achievement of the objectives of a single market among States." (Judgment of March 31, 1993, joined cases C-89/85, C-104/85, C-114/85, C-116/85, C-117/85, C-125/85, C-126/85, C-127/85, C-128/85, and C-129/85)</w:t>
        <w:br/>
        <w:t>It is therefore clear that the circumstances of negotiation regarding the raw material affect the final product, and thus, an anticompetitive agreement concerning it is reflected, for the purposes of competition protection rules, on the final product, which delineates the scope of the conduct's impact.</w:t>
        <w:br/>
        <w:t>Well, the relevance of the price of grapes on the final product is irrelevant to the determination of the competent authority, since in matters of competition protection, a potential restriction, limitation, or exclusion of competition is sufficient for the conduct to be classified as anticompetitive. If the impact on free competition is effective, it will determine a greater severity of the conduct, but such effectiveness does not determine the classification of the conduct as anticompetitive.</w:t>
        <w:br/>
        <w:t>Translating these parameters to the determination of the competence of the administrative body, we must take the final product as the axis - whose marketing takes place in different countries of the EU - since it is evident that an anticompetitive conduct regarding one of the components of the final product may potentially affect it, even if the impact does not become effective. And such potentiality determines the material scope of the conduct. We must conclude that the competence corresponds to the CNC in the terms asserted by it.</w:t>
        <w:br/>
        <w:t>FIFTH: We must recall the following general considerations:</w:t>
        <w:br/>
        <w:t>Regarding the subjection of a business organization to Law 16/1989, this Chamber has repeatedly stated A) that Article 1.1 of Law 16/1989 of July 17 provides: "Any agreement, decision or collective recommendation, or concerted or consciously parallel practice, that has as its object, produces or may produce the effect of preventing, restricting, or distorting competition in all or part of the national market is prohibited, and in particular those that consist of...", B) that Article 10.1 of the same Legal Text establishes: "The Court may impose on economic agents, companies, associations, unions or groups of them, that, deliberately or through negligence, infringe the provisions of Articles 1, 6 and 7... Fines of up to 150,000,000 pesetas, an amount that may be increased up to 10% of the sales volume...". And we have also pointed out that the first of the cited provisions results in: a) The prohibited activity is any agreement or conduct aimed at distorting free competition. b) The infringing type does not require that the purpose of violating free competition be achieved; it is sufficient that it is aimed at that purpose in the execution of the conduct, whether or not it succeeds. c) The conduct must be capable of preventing, restricting or distorting competition in all or part of the delineated market.</w:t>
        <w:br/>
        <w:t>Regarding the second of the cited provisions, it is worth noting, on the one hand, that the prohibited conduct can be carried out by any economic agent - a broad term that includes not only companies but also all those regardless of their legal form, that mediate or influence mediation in the market -; but also by associations or groups of those economic agents. On the other hand, the conduct can be carried out intentionally or negligently - clearly the provision refers to an intentional or negligent element - the former being the one that directly aims to provoke the desired distorting effect on free competition, and the latter being the one that, even without intending the effect, is capable of causing it, with such effect being foreseeable by applying due diligence.</w:t>
      </w:r>
    </w:p>
    <w:p>
      <w:r>
        <w:t>At this point, we must recall the statements made in our judgment of October 17, 2012, appeal 609/2011:</w:t>
        <w:br/>
        <w:t>"Well, we must make a first statement, for the acting entity to carry out an anticompetitive conduct, it is necessary that such power be attributed to it by a norm with the rank of Law.</w:t>
        <w:br/>
        <w:t>Well, the Regulation of the Designations of Origin "Jerez-Xérès-Sherry" and "Manzanilla-Sanlúcar de Barrameda" and its current Regulatory Council has been approved by Order of the Ministry of Agriculture and Fisheries of the Junta de Andalucía of May 13, 2010. However, given the date on which the events occurred, the Order of the Ministry of Agriculture of May 2, 1977 (BOE No. 113, of May 12, 1977) applies. From the applicable regulation, we must highlight:</w:t>
        <w:br/>
        <w:t>"Art. 37. 1. The designations of origin "Jerez - Xéres- Sherry" and "Manzanilla-Sanlúcar de Barrameda" shall be governed by a common Regulatory Council, based in Jerez de la Frontera. This Body, in accordance with the provisions of Articles 98 and 101 of Law 25/1970, shall be integrated into the INDO as a decentralized body of the same with the personality that current legislation assigns to it and with decision-making powers in all functions entrusted to it in this Regulation."</w:t>
        <w:br/>
        <w:t>"Art. 38. 1. In order to apply the provisions of this Regulation and ensure compliance, the Regulatory Council shall exercise the following functions:</w:t>
        <w:br/>
        <w:t>1. To guide, monitor and control the production, elaboration and quality of the wines covered by their designations of origin.</w:t>
        <w:br/>
        <w:t>2. To safeguard the prestige of the designations of origin in the national and foreign markets and to pursue their improper use.</w:t>
        <w:br/>
        <w:t>3. To maintain the records referred to in Article 16 and those of their holders, as well as the control of entries and exits of grapes, musts and wines in the production and storage facilities.</w:t>
        <w:br/>
        <w:t>4. To collaborate in the tasks of training and conservation of the Viticultural and Winemaking Cadastre that are entrusted to it.</w:t>
        <w:br/>
        <w:t>5. To issue certificates of origin and guarantee seals.</w:t>
        <w:br/>
        <w:t>6. The direct and effective management of the levies provided for in the Statute of the Vine, Wine and Alcohols, and of any collections that correspond to it, as well as the collection of fines and execution of imposed sanctions.</w:t>
        <w:br/>
        <w:t>7. The study of markets, as well as the promotion and advertising of its wines, in which any sponsoring body must participate, without prejudice to the competence of the Ministry of Commerce.</w:t>
        <w:br/>
        <w:t>8. To act with full responsibility and legal capacity to bind itself and appear in court, both in Spain and abroad, exercising the actions that correspond to it in its mission to represent and defend the general interests of the designations of origin.</w:t>
      </w:r>
    </w:p>
    <w:p>
      <w:r>
        <w:rPr>
          <w:b/>
        </w:rPr>
        <w:t>[Pages 13–15]</w:t>
      </w:r>
    </w:p>
    <w:p>
      <w:r>
        <w:t xml:space="preserve">9. Exercise the powers delegated by the INDO and other Administration Bodies.  </w:t>
        <w:br/>
        <w:t xml:space="preserve">10. The initiation and instruction of the files, in accordance with the provisions of Article 94 of the Statute of the Vine, Wine, and Alcohols.  </w:t>
        <w:br/>
        <w:t xml:space="preserve">11. Propose the budgets for the same and submit them to the INDO for approval in the manner determined by said Institute.  </w:t>
        <w:br/>
        <w:t xml:space="preserve">12. Propose and submit the general accounts of the Council to the INDO.  </w:t>
        <w:br/>
        <w:t xml:space="preserve">13. Review and approve the annual report of the Council's activities, forwarding it to the INDO.  </w:t>
        <w:br/>
        <w:t xml:space="preserve">14. Those tasks entrusted to it by the competent Bodies of the Ministry of Agriculture.  </w:t>
        <w:br/>
        <w:t xml:space="preserve">15. Regulate the planting of vineyards in the production area, in the manner provided for in Article 5, 2.  </w:t>
        <w:br/>
        <w:t xml:space="preserve">16. Take the necessary measures to ensure that exporting breeders and warehouse keepers acquire the musts from the harvest, in accordance with the production of the campaign and market fluctuations, setting prices referred to in Article 28, 3." Article 28.3 states:  </w:t>
        <w:br/>
        <w:t xml:space="preserve">"3. For the fulfillment of the above and what is determined in Article 25 regarding the mandatory acquisition by the registered wineries of the grapes or wines produced by the registered vineyards or by other registered wineries, the Regulatory Council is empowered in each campaign to take the necessary agreements for the application of this principle, being able to set prices for the grapes and wines subject to these transactions, in order to absorb the harvest as well as set limit prices for the sales made by the registered wineries, to avoid unfair competition among them."  </w:t>
        <w:br/>
        <w:t xml:space="preserve">We must already point out two aspects regarding these provisions: 1.- The assumption of price fixing is not applicable to the present case, as we are not facing mandatory acquisitions of grapes by the wineries, and 2.- the transcribed norm is regulatory - Ministerial Order -, and therefore its normative rank is not sufficient to exclude the application of Law 16/1989.  </w:t>
        <w:br/>
        <w:t xml:space="preserve">For its part, Law 25/1970 establishes:  </w:t>
        <w:br/>
        <w:t xml:space="preserve">"Article eighty-seven.- The Regulatory Councils shall have, among others, the following functions:  </w:t>
        <w:br/>
        <w:t xml:space="preserve">First. To guide, monitor, and control the production, elaboration, and quality of the wines covered by their Designation of Origin.  </w:t>
        <w:br/>
        <w:t xml:space="preserve">Second. To safeguard the prestige of the Designation of Origin in the national and foreign markets and to pursue its improper use.  </w:t>
        <w:br/>
        <w:t xml:space="preserve">Third. To maintain the Registers of vineyards, wineries, production, and aging, and those of their holders, as well as the control of the entry and exit of grapes, musts, and wines, in the elaboration and storage facilities.  </w:t>
        <w:br/>
        <w:t xml:space="preserve">Fourth. To collaborate in the tasks of training and conservation of the Viticultural and Winemaking cadastre that are entrusted to them.  </w:t>
        <w:br/>
        <w:t xml:space="preserve">Fifth. To issue Certificates of Origin and guarantee seals.  </w:t>
        <w:br/>
        <w:t xml:space="preserve">Sixth. The direct and effective management of the levies established in this Law and of any collections that correspond to it, as well as the collection of fines and execution of imposed sanctions.  </w:t>
        <w:br/>
        <w:t xml:space="preserve">Seventh. The promotion and advertising for the expansion of their markets, as well as the study of the same.  </w:t>
        <w:br/>
        <w:t xml:space="preserve">Eighth. To act with full responsibility and legal capacity, to obligate and appear in court, both in Spain and abroad, exercising the actions that correspond to it in its mission to represent and defend the general interests of the Designation of Origin.  </w:t>
        <w:br/>
        <w:t xml:space="preserve">Ninth. To exercise the powers delegated by the Institute of Designations of Origin or other Administration Bodies.  </w:t>
        <w:br/>
        <w:t xml:space="preserve">Tenth. The others conferred by the Regulation."  </w:t>
        <w:br/>
        <w:t xml:space="preserve">This Law has been repealed by Law 24/2003, of July 10, on the Vine and Wine.  </w:t>
        <w:br/>
        <w:t xml:space="preserve">In the scope of Andalusia, Law 10/2007 establishes:  </w:t>
        <w:br/>
        <w:t xml:space="preserve">"Article 21. Purposes and functions of the management bodies.  </w:t>
        <w:br/>
        <w:t xml:space="preserve">1. The purposes of the management bodies are the representation, defense, guarantee, training, research, development, and innovation of markets and promotion of both the covered wines and the level of protection.  </w:t>
        <w:br/>
        <w:t xml:space="preserve">2. To fulfill their purposes, the management bodies must perform at least the following functions:  </w:t>
        <w:br/>
        <w:t xml:space="preserve">a. Propose the regulation that includes the specifications of the product established in Article 7, as well as its possible modifications.  </w:t>
        <w:br/>
        <w:t xml:space="preserve">b. Guide production and quality and promote and inform consumers about the v.c.p.r.d., and, in particular, about its specific quality characteristics, and collaborate with the Administration in promoting its products.  </w:t>
        <w:br/>
        <w:t xml:space="preserve">c. Safeguard the prestige of the v.c.p.r.d., and the compliance with the regulation of the covered product, being able to report, if appropriate, any incorrect use to the competent administrative and jurisdictional bodies in the matter, and must also report any alleged non-compliance with the winemaking regulations, including those of the v.c.p.r.d., to the authority that is competent in each case.  </w:t>
        <w:br/>
        <w:t xml:space="preserve">d. Adopt, within the framework of the regulation of the v.c.p.r.d., the establishment for each campaign, according to criteria for defense and improvement of quality and within the limits set by the regulation, the yields, maximum limits of production, transformation, and marketing in case of authorization, the form and conditions of irrigation, or any other annual situational aspect that may influence these processes.  </w:t>
        <w:br/>
        <w:t xml:space="preserve">e. Qualify each vintage or harvest and establish the requirements that must be met by the labels of the wines within the scope of their competencies.  </w:t>
        <w:br/>
        <w:t xml:space="preserve">f. Maintain the records defined in the regulation of each v.c.p.r.d.  </w:t>
        <w:br/>
        <w:t xml:space="preserve">g. Prepare statistics on production, elaboration, and marketing of the covered products, for internal use and for dissemination and general knowledge.  </w:t>
        <w:br/>
        <w:t xml:space="preserve">h. Manage the quotas and mandatory rights established in the regulation of the v.c.p.r.d. for the financing of the management body.  </w:t>
        <w:br/>
        <w:t xml:space="preserve">i. Propose the minimum control requirements to which each registered operator must be subjected in each and every phase of production, elaboration, and marketing of the covered wines, for each v.c.p.r.d., and, where appropriate, the minimum control for the initial granting and maintenance of certification.  </w:t>
        <w:br/>
        <w:t xml:space="preserve">j. Collaborate with the competent authorities in winemaking, particularly in maintaining the official public winemaking records, as well as with the bodies responsible for control.  </w:t>
        <w:br/>
        <w:t xml:space="preserve">k. Issue, at the request of, and prior binding report of certification from the control body or organism, the certificates of origin for both the wines covered by the corresponding level of protection and for the grapes or intermediate products that, according to the specifications, are considered suitable for the elaboration of such wines.  </w:t>
        <w:br/>
        <w:t xml:space="preserve">l. Withdraw, prior binding report from the control body or organism, the right to use the certification from those wines that, according to the chosen control system, do not meet the requirements of the specifications."  </w:t>
        <w:br/>
        <w:t xml:space="preserve">None of the norms with the rank of Law applicable allow for the approval of price-fixing agreements in the terms that are the subject of this appeal, so there is no doubt regarding the lack of legal coverage for the conduct we are judging.  </w:t>
        <w:br/>
        <w:t xml:space="preserve">The Regulatory Council appealing did not have legal coverage to carry out the conduct attributed to it.  </w:t>
        <w:br/>
        <w:t xml:space="preserve">At this point, we can establish:  </w:t>
        <w:br/>
        <w:t xml:space="preserve">1) Regardless of the nature of the appellant, what is relevant for the purposes of the infringement we are dealing with is to determine the nature of the exercised powers.  </w:t>
        <w:br/>
        <w:t>B) The principle of habilitation that governs regarding Public Administrations imposes the recognition of exorbitant powers exclusively in the public sphere, acting in the interests of the general public, which norms with sufficient rank attribute to them.</w:t>
      </w:r>
    </w:p>
    <w:p>
      <w:r>
        <w:rPr>
          <w:b/>
        </w:rPr>
        <w:t>[Pages 16–18]</w:t>
      </w:r>
    </w:p>
    <w:p>
      <w:r>
        <w:t xml:space="preserve">In the case presented to us, it cannot be understood that the setting of the grape price falls within the administrative competence of the plaintiffs.  </w:t>
        <w:br/>
        <w:t xml:space="preserve">C) Article 2 of Law 16/1989 does not contemplate the application of a Regulation as an instrument for the exemption of anticompetitive conduct typified by the Law."  </w:t>
        <w:br/>
        <w:t xml:space="preserve">We must highlight that the Regulatory Council intervened in the conduct we analyze, consisting of the setting of grape prices and also the knowledge of two Public Administrations of the events that occurred.  </w:t>
        <w:br/>
        <w:t xml:space="preserve">SIXTH: Regarding the qualification of the conduct, we share the assertion of the CNC:  </w:t>
        <w:br/>
        <w:t xml:space="preserve">"Article 1 of the LDC prohibits "any agreement, decision, or collective recommendation, or concerted or consciously parallel practice, that has as its object, produces, or may produce the effect of preventing, restricting, or distorting competition in all or part of the national market and, in particular, those that consist of, a) the direct or indirect setting of prices or other commercial or service conditions."  </w:t>
        <w:br/>
        <w:t xml:space="preserve">Article 101 of the TFEU prohibits the same conduct. And for the purposes of both articles, there is an agreement when the parties associate in a common plan with real or potential capacity to limit the individual freedom of the commercial policy of the signatories and thus affect competition in the market. These articles do not require the existence of formal, signed, and sealed agreements, nor do they require that the agreements have real and demonstrated anticompetitive effects since it is sufficient that they have the potential to produce them.  </w:t>
        <w:br/>
        <w:t xml:space="preserve">In the case at hand, we have signed agreements between the parties in addition to multiple communications regarding their application, so there is no need to dwell further on this aspect. Furthermore, the parties do not deny the existence of the Agreements.  </w:t>
        <w:br/>
        <w:t xml:space="preserve">Regarding the second requirement of Article 1, the search for or capacity to affect or distort competition, although the effects have not been evaluated concretely, and although their demonstration is not necessary, it is evident that price agreements that extend over such a long period of time not only have the capacity but can be assured to affect competition in the sector.  </w:t>
        <w:br/>
        <w:t xml:space="preserve">Precisely the length of the period, which dates back to 1991, makes it especially difficult to prove concrete effects, both in terms of the price levels that would have been set had the agreement not existed, as well as the effect on the allocation of resources and on the agents of the sector, on both sides of the negotiation, producers and fundamentally on the processors, who have not had to compete on the price of the raw material, which in turn facilitated other agreements that have already been sanctioned by this Council."  </w:t>
        <w:br/>
        <w:t xml:space="preserve">The participation of the plaintiff has been accredited as a result of the proven facts previously transcribed.  </w:t>
        <w:br/>
        <w:t xml:space="preserve">SEVENTH: Now, the imposition of the sanction requires not only the concurrence of the objective element, that is, the infringing conduct, which, as we have seen, concurs and has been sufficiently accredited in the facts and delineated in the typification;  </w:t>
        <w:br/>
        <w:t xml:space="preserve">but it is also necessary that the subjective element, whether intent or negligence, also concurs. This has been repeatedly declared by this Chamber, as it is required that the entity's actions appreciate that intentionality or negligence.  </w:t>
        <w:br/>
        <w:t xml:space="preserve">The normative complexity regarding the articulation of Law 16/1989 and the own competences of the Administrations and those who act under their decisions is evident, but it is necessary to determine whether in the case at hand, the complexity may have caused confusion that could justify the appreciation of the non-concurrence of the subjective element of the infringement. Indeed, having eliminated objective responsibility or liability for the result, even in Administrative Sanctioning Law, no sanction can be imposed when there is no intent or negligence in the commission.  </w:t>
        <w:br/>
        <w:t xml:space="preserve">In the present case, it can be asserted that the situation is confusing for the following reasons:  </w:t>
        <w:br/>
        <w:t xml:space="preserve">1.- The Resolution itself states: "We are faced with conduct embedded in a broader process of agreements related to the reconversion of the Jerez wine sector that includes a section related to the prices to be paid by the processors and the price that producers will receive ...", which implies admitting as reasonable the possibility of some indeterminacy and lack of clarity regarding the different aspects to which the reconversion may legitimately affect.  </w:t>
        <w:br/>
        <w:t xml:space="preserve">2.- The Resolution explicitly supports the Agreements adopted by two Administrations, the General State Administration and the Autonomous Administration of Andalusia.  </w:t>
        <w:br/>
        <w:t xml:space="preserve">3.- It is also explicit in recognizing that the Agreements were widely disseminated in the media, which implies an absolute absence of concealment, a clear and open behavior that does not reveal an awareness of unlawfulness in it, but rather reflects that the conduct could be publicly known.  </w:t>
        <w:br/>
        <w:t xml:space="preserve">By combining the three elements, reconversion of the sector, intervention of two Public Administrations in the process, and clear and direct action, we must conclude that the appellant did not have the awareness that the behavior carried out constituted conduct contrary to free competition, but rather, on the contrary, their behavior reveals the awareness of acting within legality; which implies the absence of the subjective element of the offense.  </w:t>
        <w:br/>
        <w:t xml:space="preserve">Finally, there is no appreciation of a violation of the right to defense either regarding the evidence collected in the inspection of July 16, 2008, nor of those derived from it, and nothing prevents legally obtained evidence in one procedure from being effective in another.  </w:t>
        <w:br/>
        <w:t xml:space="preserve">From the above, it results in the partial acceptance of the appeal, in that the conduct judged is contrary to free competition, but the imposed sanction is contrary to Law for lacking the subjective element of the infringement.  </w:t>
        <w:br/>
        <w:t xml:space="preserve">No merits are appreciated that determine a special pronouncement on costs, according to the criteria contained in Article 139.1 of the Regulatory Law of the Contentious Administrative Jurisdiction.  </w:t>
        <w:br/>
        <w:t>HAVING SEEN the cited precepts and others of general and pertinent application, by the power granted to us by the Constitution:</w:t>
      </w:r>
    </w:p>
    <w:p>
      <w:r>
        <w:t xml:space="preserve">WE DECREE  </w:t>
        <w:br/>
        <w:t xml:space="preserve">That partially accepting the contentious administrative appeal filed by the Association of Artisans of Jerez and La Manzanilla, and in their name and representation the Attorney Mr. D. Isidro Orquin Cedenilla, against the Administration of the State, directed and represented by the State Attorney, regarding the Resolution of the National Competition Commission dated October 6, 2011, we must declare and declare that the challenged Resolution regarding the imposed fine on the appellant is not in accordance with the Law, and consequently, we must annul it and we annul it in this respect, leaving without effect the fine imposed on the appellant, confirming it in its other pronouncements, without express imposition of costs.  </w:t>
        <w:br/>
        <w:t xml:space="preserve">Thus, by this our judgment, which will be notified stating that no appeal for cassation lies against it, following the prescribed indications in Article 248 of Organic Law 6/1985, and a testimony of which will be sent in due course to the office of origin for legal purposes along with the file, if applicable, we pronounce, command, and sign.  </w:t>
        <w:br/>
        <w:t>PUBLICATION / The previous judgment has been read and published by the Honorable Mrs. Magistrate Rapporteur of the same, while holding a public hearing on the same date, the Chamber of Contentious Administrative of the National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