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https://www.cnmc.es/expedientes/s017609</w:t>
      </w:r>
    </w:p>
    <w:p>
      <w:r>
        <w:t>Pages translated : 9</w:t>
      </w:r>
    </w:p>
    <w:p/>
    <w:p>
      <w:r>
        <w:rPr>
          <w:b/>
        </w:rPr>
        <w:t>[Pages 1–3]</w:t>
      </w:r>
    </w:p>
    <w:p>
      <w:r>
        <w:t xml:space="preserve">RESOLUTION  </w:t>
        <w:br/>
        <w:t xml:space="preserve">Expte. S/0176/09 SEDIFA AND GRUFARMA  </w:t>
        <w:br/>
        <w:t xml:space="preserve">Council:  </w:t>
        <w:br/>
        <w:t xml:space="preserve">Mr. Luis Berenguer Fuster, President  </w:t>
        <w:br/>
        <w:t xml:space="preserve">Ms. Pilar Sánchez Núñez, Vice-President  </w:t>
        <w:br/>
        <w:t xml:space="preserve">Mr. Julio Costas Comesaña, Councilor  </w:t>
        <w:br/>
        <w:t xml:space="preserve">Ms. María Jesús González López, Councilor  </w:t>
        <w:br/>
        <w:t xml:space="preserve">Ms. Inmaculada Gutiérrez Carrizo, Councilor  </w:t>
        <w:br/>
        <w:t xml:space="preserve">In Madrid, on June 9, 2010  </w:t>
        <w:br/>
        <w:t xml:space="preserve">The Council of the National Competition Commission (the Council), with the composition stated and with the Rapporteur being Councilor Ms. Inmaculada Gutiérrez Carrizo, has issued the following Resolution in the case S/0176/09 SEDIFA AND GRUFARMA, which arises from the complaint filed by SEDIFA, S.L. and GRUFARMA, 92, S.L. against the pharmaceutical laboratories JANSSEN-CILAG, S.A. (JC), SANOFI-AVENTIS ESPAÑA, S.A. (SANOFI), NOVARTIS FARMACÉUTICA, S.A. (NOVARTIS), BOEHRINGER INGELHEIM ESPAÑA, S.A. (BI), and ASTRA ZENECA (AZ) for an alleged abuse of dominant position.  </w:t>
        <w:br/>
        <w:t xml:space="preserve">FACTUAL BACKGROUND  </w:t>
        <w:br/>
        <w:t xml:space="preserve">1. On July 29, 2009, a letter was received at the National Competition Commission (CNC) from Mr. XXX (Sole Administrator of SEDIFA, S.L. and attorney for GRUFARMA, 92, S.L.) in which he filed a complaint against the pharmaceutical laboratories JANSSEN-CILAG, S.A. (JC), SANOFI-AVENTIS ESPAÑA, S.A. (SANOFI), NOVARTIS FARMACÉUTICA, S.A. (NOVARTIS), BOEHRINGER INGELHEIM ESPAÑA, S.A. (BI), and ASTRA ZENECA (AZ) for an individual abuse of dominant position for some medications and a joint abuse for others, consisting of the limitation of distribution, unjustified refusal of supply, and the establishment of unequal conditions in the relationships with distribution that place some distributors at a disadvantage compared to others.  </w:t>
        <w:br/>
        <w:t xml:space="preserve">2. Previously, SEDIFA, S.L. and GRUFARMA, 92, S.L. had submitted a complaint on December 18, 2007, to the Directorate of Investigation (DI) of the National Competition Commission (CNC) against PFIZER and all the aforementioned reported laboratories for an alleged collusion or consciously parallel practice in the termination of contracts with the complainants that would violate Article 1 of Law 15/2007, on the Defense of Competition (LDC). The Council of the CNC resolved, on September 25, 2008, to archive the proceedings (Expte S/0030/07). The Resolution was appealed to the Administrative Litigation Jurisdiction without a judgment being issued until the drafting of this Proposal.  </w:t>
        <w:br/>
        <w:t xml:space="preserve">3. Additionally, in his letter, the complainant states that, due to the refusal of supply by the reported laboratories, he had filed a lawsuit on February 29, 2008, for ordinary proceedings for unfair competition and for infringement of Articles 1 and 2 of the LDC, against JC and SANOFI before the Commercial Court No. 2 of Barcelona and against AZ, BI, and NOVARTIS on October 1, 2008, before the same Court. The Court issued a Judgment on February 24, 2010 (Judgment 56/10, Sedifa and Grufarma/ AZ, BI, Novartis, Sanofi, and JC), resolving the absence of infringement of both the Unfair Competition Law and Articles 1 and 2 of the LDC. The Judgment states that, regarding the possible infringement of Article 2 of the LDC, the plaintiffs had not specified with which medications the reported laboratories held a dominant position, but that, nevertheless, even assuming hypothetically that the reported laboratories occupied a dominant position in relation to the treatment of a specific ailment, the infringement of Article 2 required abusive exploitation from the dominant position, which in turn required, according to the ECJ, that there be no objective justification for the conduct carried out (FD 10º). In the same judgment, on March 18, 2010, the same court declared the previous judgment final as it had not been appealed within the stipulated time (Ordinary Procedure 170/2008).  </w:t>
        <w:br/>
        <w:t xml:space="preserve">4. The Directorate of Investigation describes the complainants and the defendants and the regulatory framework in which their activities are carried out as follows:  </w:t>
        <w:br/>
        <w:t xml:space="preserve">“I.1.- Regulatory framework  </w:t>
        <w:br/>
        <w:t xml:space="preserve">(8) On July 26, 2006, Law 29/2006, on Guarantees and Rational Use of Medicines and Health Products, was enacted, which came into force the day after its publication in the BOE. This Law, which currently regulates the relationships between pharmaceutical laboratories and distributors and between them and pharmacies, establishes in Article 68 that:  </w:t>
        <w:br/>
        <w:t xml:space="preserve">“1. The distribution of authorized medicines shall be carried out through wholesale warehouses or directly by the laboratory holding the marketing authorization.”  </w:t>
        <w:br/>
        <w:t xml:space="preserve">And in its Article 90 it provides that (underlined added):  </w:t>
        <w:br/>
        <w:t xml:space="preserve">“1. It is the responsibility of the Council of Ministers, by royal decree, at the proposal of the Ministers of Economy and Finance, Industry, Tourism and Trade, and Health and Consumption, and prior agreement of the Government Delegated Commission for Economic Affairs, to establish the general regime for setting the industrial prices of medicines, as well as those health products that are to be included in the pharmaceutical provision of the National Health System and that are dispensed, through official prescription, in national territory, which shall respond to objective criteria.  </w:t>
        <w:br/>
        <w:t xml:space="preserve">The economic amounts corresponding to the concepts of distribution and dispensing of medicines and of such health products are set by the Government, prior agreement of the Government Delegated Commission for Economic Affairs, generally or by groups or sectors, taking into consideration technical-economic and health criteria.”  </w:t>
        <w:br/>
        <w:t xml:space="preserve">(9) Therefore, the maximum industrial prices of pharmaceutical specialties are set by the Interministerial Commission on Prices of Medicines. However, these prices are established only for the specialties that meet the following requirements:  </w:t>
        <w:br/>
        <w:t xml:space="preserve">- that are dispensed in national territory and  </w:t>
        <w:br/>
        <w:t xml:space="preserve">- that are financed from Social Security funds or state funds allocated to Health.  </w:t>
        <w:br/>
        <w:t xml:space="preserve">I.2.- The parties  </w:t>
        <w:br/>
        <w:t xml:space="preserve">(10) The complainant companies SEDIFA and GRUFARMA are distributors of authorized human-use medicines by the Directorate General of Health Resources of the Department of Health and Social Security of the Generalitat of Catalunya. These companies do not constitute a group of companies as described in the Commercial Code but possess a common decision-making unit.  </w:t>
        <w:br/>
        <w:t xml:space="preserve">(11) According to the Minutes of Declarations of GRUFARMA, dated January 23, 2008, said company was not making exports at that time nor does it plan to do so in at least the next five years (folios 42 to 47).  </w:t>
        <w:br/>
        <w:t xml:space="preserve">(12) Likewise, SEDIFA in the Minutes of Declarations of the same date states exactly the same, that is, it does not plan to make exports in at least the next five years following the signing of said Minutes (folios 48 to 52).  </w:t>
        <w:br/>
        <w:t xml:space="preserve">(13) The reported laboratories are large multinational pharmaceutical companies dedicated to the manufacture and sale of pharmaceutical products:  </w:t>
        <w:br/>
        <w:t xml:space="preserve">- JANSSEN-CILAG (JC) is a research-based pharmaceutical company belonging to the Johnson &amp; Johnson group. It has a global presence. Its main activity, in relation to the case, is the manufacture of human-use pharmaceutical products.  </w:t>
        <w:br/>
        <w:t xml:space="preserve">- SANOFI-AVENTIS is one of the world leaders in the pharmaceutical industry and number 1 in Europe. Its main activity, in relation to the case, is the manufacture of human-use pharmaceutical products.  </w:t>
        <w:br/>
        <w:t xml:space="preserve">- NOVARTIS was founded in 1997 after the merger of Ciba-Geigy and Sandoz. Like the previous ones, its activity, in relation to the case, is the manufacture of human-use pharmaceutical products. It has a global presence.  </w:t>
        <w:br/>
        <w:t xml:space="preserve">- AZ was established on April 6, 1999, by the merger of the Swedish company Astra AB and the English Group Zeneca PLC. Its main activity, in relation to the case, is the manufacture of human-use pharmaceutical products. It has a global presence.  </w:t>
        <w:br/>
        <w:t xml:space="preserve">- BI was founded in 1885 and began its activity in Spain in 1952. Its main activity, in relation to the case, is the manufacture of human-use pharmaceutical products. It also has a veterinary division and a chemical division. Like the other reported laboratories, it has a global presence. The parent company is Boehringer AG, located in Germany, and the laboratories EUROPHARMA and FHER also belong to the Boehringer Ingelheim group.”  </w:t>
        <w:br/>
        <w:t xml:space="preserve">5. The DI has conducted a reserved inquiry in which it has requested information from the reported laboratories as well as from the complainant. Based on the information obtained and the precedents, the DI concludes that:  </w:t>
        <w:br/>
        <w:t>- The complainant companies, like other wholesale distributors of pharmaceutical products, received communications from several laboratories warning of substantial changes in the distribution policy of their products and the unilateral cessation of relationships.</w:t>
      </w:r>
    </w:p>
    <w:p>
      <w:r>
        <w:rPr>
          <w:b/>
        </w:rPr>
        <w:t>[Pages 4–6]</w:t>
      </w:r>
    </w:p>
    <w:p>
      <w:r>
        <w:t>supply. Thus, the letter from SANOFI, dated June 1, 2007, informs the complainants that it is terminating the current supply relationship effective December 31, 2007 (folios 36 and 37). The letter from NOVARTIS was sent on September 5, 2007, and announces that it was proceeding to terminate the supply relationship as of March 1, 2008 (folio 35). AZ sent them a letter on November 6, 2007, announcing the need to terminate the contractual relationships as of May 6, 2008 (folios 33 and 34). BI sent them a letter on November 30, 2007, announcing that it was concluding the commercial supply relationship as of May 31, 2008 (folios 38 to 41). The letter sent by JC to the complainants is not included in the file.</w:t>
        <w:br/>
        <w:t>- In the complaint filed on July 29, 2009, by SEDIFA AND GRUFARMA, which gives rise to the present file, it is argued that there could be an abuse of individual or joint dominant position, as the case may be, manifested in a refusal to supply, for which they provide a study conducted by an expert. As the DI indicates, the complainants conclude that:</w:t>
        <w:br/>
        <w:t>- AZ has a market share of 100% with the specialty Logimax belonging to group C8B (Combined calcium antagonists).</w:t>
        <w:br/>
        <w:t>- BI has a market share of 100% with: Buscapina Compositum belonging to group A3D (Antispasmodics in combination with analgesics), with Pradaxa belonging to group B1E (Direct thrombin inhibitors) and with the specialties Atrovent, Combivent, and Spiriva belonging to group R3G (Anticholinergics alone, with B2 stimulants).</w:t>
        <w:br/>
        <w:t>- NOVARTIS has a market share of 100%: with Rasilez belonging to group C9X (Other agents acting on the renin-angiotensin system), with Methergin belonging to group G2A (Inducers of labor including oxytocics and Prostaglandins E3 and E2), with Nuvacthen Depot belonging to group H1A (ACTH) and with Desferin and Exjade belonging to group V3F (Iron chelating agents).</w:t>
        <w:br/>
        <w:t>- SANOFI has a market share of 100% in group P1G (Other antiparasitics) with Glucantime.</w:t>
        <w:br/>
        <w:t>- JC has a share of 71% in group N6B (Psychostimulants) with Concerta and 52.9% in group N2A (Narcotic analgesics) with Durogesic Matrix.</w:t>
        <w:br/>
        <w:t>- The same study states that by adding the market shares of the specialties of the reported laboratories that belong to the same therapeutic group, shares exceeding 50% would be reached, which could indicate a joint dominant position in certain therapeutic groups. Thus:</w:t>
        <w:br/>
        <w:t>(cid:131) In group L2B (Hormone antagonists and related agents), the study includes the following specialties: Arimidex with a share of 24% in value, Casodex with a share of 19% in value, Faslodex with a share of 6% in value, and Novaldex with a share of 0% in value, all from AZ, and Femara from Novartis with a share of 20% in value. In total, a 69% market share in value.</w:t>
        <w:br/>
        <w:t>(cid:131) In group N5A (Antipsychotics), the study includes the following specialties: Invega with a share of 1% in value, Orap with a share of 0% in value, Risperdal with a share of 6% in value, Risperdal Consta with a share of 21% in value, Risperdal flax with a share of 3% in value, all from JC, Seroquel from AZ with a share of 16% in value, Etumina with a share of 0% in value, and Leponex with a share of 1% in value, both from Novartis, Dogmatil with a share of 10% in value, Solian with a share of 3% in value, and Largactil, Lonseren, Nemactil, Sinogan, and Tiaprizal with a share of 0% in value, all from Sanofi. In total, a 53% market share in value.</w:t>
        <w:br/>
        <w:t>- The DI considers that “(…) the relevant product market in the case at hand will be constituted by the therapeutic area in which each of the affected specialties can be included, an area that will comprise all those medicines used for the treatment of one or more conditions based on their respective authorized indications and that, consequently, are interchangeable with each other.” Also, according to doctrine, the geographical scope to be considered for the purpose of assessing the dominant position of the laboratories in the identified product markets is the national territory.</w:t>
        <w:br/>
        <w:t>- Based on the information provided, the DI analyzes the specialties in which the complainants consider that each reported laboratory has an individual dominant position. For the analysis of possible substitutability, data from the International Vademecum, the General Catalog of the General Council of Official Pharmaceutical Colleges (Catalog), and the technical data sheets of the products from the Spanish Agency of Medicines and Health Products (AEMPS) are used. Analyzing the substitutability of the medicines, the DI concludes that, in many cases, the market share of the laboratories is lower than that considered by the complainant companies for the specialties in question. In particular:</w:t>
        <w:br/>
        <w:t>- Neither AZ nor BI would have a dominant position with any of the specialties referred to in the complaint.</w:t>
        <w:br/>
        <w:t>- Relevant positions of NOVARTIS would be observed with Methergin, Nuvacthen Depot, and with Desferin and Exjade that could imply the existence of a dominant position. For its part, SANOFI would have a dominant position with Glucantime and, finally, in the case of JC, there would also be indications of a relevant position with Durogesic Matrix.</w:t>
        <w:br/>
        <w:t>- Nevertheless, the DI considers that these laboratories do not have freedom of behavior given the regulation of the sector and the obligations to which they are subjected; they cannot modify any characteristic of the product unless they request it from the Administration, including the price; the margins of the successive levels (wholesalers and pharmacies) are administratively pre-established; they are legally obliged to keep the market continuously supplied, and the sales channels and the promotion and advertising of the products are also regulated. And the DI concludes: “Thus, there is no possibility of developing an independent commercial policy without taking into account competitors or consumers, which is the defining criterion for the existence of a dominant position. Therefore, this last one cannot be appreciated.”</w:t>
        <w:br/>
        <w:t>- Regarding the joint dominant position, the DI argues that it cannot conclude the existence of the same because there is no evidence in the file that the laboratories intended to act jointly, as it understands that the doctrine it cites and analyzes requires (Almelo cases and Compagnie maritime belge case among others). In fact, the Council of the CNC already archived a possible infringement of Article 1 of the LDC for the same facts and carried out by the same companies. It adds that these laboratories do not need to act collectively since each one decides the distributors with whom to keep the market supplied.</w:t>
        <w:br/>
        <w:t>- The DI considers that even if the individual or collective dominant position were concluded, there can be no talk of abuse and, therefore, no infringement of Article 2, since there is an objective justification for the conduct. The DI cites in this regard the Judgment of the Commercial Court No. 2 of Barcelona (Judgment 56/10, of February 24, 2010 (Sedifa and Grufarma/ AZ, BI, Novartis, Sanofi and JC). Fº.Dº. 10º) which highlights that even though the conduct of the defendants may have interfered with the development of the plaintiffs' activity, it cannot be argued that it lacks objective justification and that “the reduction in the number of wholesalers is a logical consequence of the partial liberalization of the price of medicines that occurred with the entry into force, on January 1, 2000, of the new wording of Article 100 of Law 25/1990, on Medicines, and subsequently with Article 90 of Law 29/2006, which limit the administrative intervention of prices to those medicines susceptible to public funding that are dispensed in Spain,” concluding that there is no infringement of Article 2 of the LDC.</w:t>
        <w:br/>
        <w:t>6. In light of all that has been acted upon, on April 23, 2010, the DI submitted the file to the Council along with a report in which, in accordance with the provisions of Article 49.3 of the LDC, it proposes not to initiate the sanctioning procedure, as well as the archiving of the proceedings for considering that there are no indications of infringement of the Law.</w:t>
        <w:br/>
        <w:t>7. The Council deliberated and ruled on the matter in its meeting of June 2, 2010.</w:t>
        <w:br/>
        <w:t>LEGAL GROUNDS</w:t>
        <w:br/>
        <w:t>FIRST. Number 3 of Article 49 of the Competition Defense Law provides that the Council, at the proposal of the Investigation Directorate of the National Competition Commission, may agree not to initiate sanctioning proceedings for the alleged commission of the conduct prohibited in Articles 1, 2, and 3 of the Law and, consequently, the archiving of the actions carried out by the Investigation Directorate when it considers that there are no indications of infringement of Law 15/2007.</w:t>
        <w:br/>
        <w:t>SECOND. For an adequate assessment of this matter, it is of particular interest to keep in mind the legal-economic context in which the facts being reported take place. Law 29/2006, among other issues, partially liberalizes the price of medicines and revises the margins of wholesale distribution, which has led various laboratories since the entry into force of said Law to restructure their distribution networks, seeking to reduce costs and increase their efficiency. This Council, in its Resolution of September 25, 2008 (S/0030/2007 Pharmaceutical Laboratories), already had the opportunity to describe this process. In the First Proven Fact of that Resolution, information was included from which it was inferred that the laboratories then reported, among which are those now reported for the same facts, had terminated their commercial relationship with their wholesale distributors and had entered into new contracts with some of them. “…the reported laboratories have terminated the commercial relationship with all those wholesalers with whom they had relationships at that time. The choice, by these laboratories, of the wholesale distributors with whom to establish new commercial relationships has been made following criteria of:</w:t>
      </w:r>
    </w:p>
    <w:p>
      <w:r>
        <w:rPr>
          <w:b/>
        </w:rPr>
        <w:t>[Pages 7–9]</w:t>
      </w:r>
    </w:p>
    <w:p>
      <w:r>
        <w:t xml:space="preserve">territorial coverage, capacity to react to emergencies, conservation and transportation systems, information systems and order management, and some of them have stated that they have preferred to opt for pharmaceutical cooperatives due to their greater penetration and proximity to pharmacies. </w:t>
        <w:br/>
        <w:t xml:space="preserve">In general, they have chosen those distributors with the largest market share and some local ones, such as wholesalers located in the archipelagos and in Ceuta and Melilla. </w:t>
        <w:br/>
        <w:t xml:space="preserve">However, the contracts that the complainants have signed with these wholesalers contemplate the possibility of indirect transactions, that is, resale between distributors. </w:t>
        <w:br/>
        <w:t xml:space="preserve">Obviously, the complainants must be among those wholesalers with whom some laboratories decided not to sign a new contract at that time. </w:t>
        <w:br/>
        <w:t xml:space="preserve">THIRD. The complainants raise on this occasion whether this unilateral interruption of the commercial relationship by the laboratories can be understood as a case of abuse of a dominant position that violates Article 2 of the LDC. </w:t>
        <w:br/>
        <w:t xml:space="preserve">According to the information contained in the Proposal for Filing submitted by the DI to this Council, the market shares of the reported laboratories for the set of prescription drugs in Spain are as follows: </w:t>
        <w:br/>
        <w:t xml:space="preserve">Market share in Market share in Market share in </w:t>
        <w:br/>
        <w:t xml:space="preserve">2007 2008 2008 </w:t>
        <w:br/>
        <w:t xml:space="preserve">Laboratory </w:t>
        <w:br/>
        <w:t xml:space="preserve">In value In units In value In units In value In </w:t>
        <w:br/>
        <w:t xml:space="preserve">units </w:t>
        <w:br/>
        <w:t xml:space="preserve">SANOFI 6.04% 5.35% 6.01% 5.23% 5.82% 5.05% </w:t>
        <w:br/>
        <w:t xml:space="preserve">NOVARTIS 4.80% 4.00% 4.10% 4.90% 4.00% 5.10% </w:t>
        <w:br/>
        <w:t xml:space="preserve">AZ 4.43% 1.65% 4.10% 1.61% 3.90% 1.63% </w:t>
        <w:br/>
        <w:t xml:space="preserve">JC 3.50% 0.70% 3.30% 0.80% 3.30% 0.70% </w:t>
        <w:br/>
        <w:t xml:space="preserve">BI 3.10% 3.10% 3.20% 3.00% 3.30% 2.90% </w:t>
        <w:br/>
        <w:t xml:space="preserve">Source: IMS data compiled by the DI </w:t>
        <w:br/>
        <w:t xml:space="preserve">The existence of a dominant position is a necessary prerequisite to conclude the existence of an infringement of Article 2 of the LDC, so the complainant points out certain products in which each of the reported laboratories would allegedly have a dominant position. The DI conducts an analysis of the substitutability of these products, concluding that in some cases the relevant market to consider would include more products and that, therefore, the market share to be assigned to the laboratory would be lower. This would limit the possible dominant positions to only the case of NOVARTIS in three specialties and of SANOFI and JC in one specialty each, respectively. </w:t>
        <w:br/>
        <w:t xml:space="preserve">The Council considers that the fact that we are dealing with a regulated activity in such a way that the capacity of operators to act may be limited in certain aspects does not prevent the eventual conclusion of the existence of a dominant position. </w:t>
        <w:br/>
        <w:t xml:space="preserve">On the other hand, the analysis of substitutability carried out fundamentally addresses final demand (whether the drugs have substitutes from the perspective of therapeutic utility). </w:t>
        <w:br/>
        <w:t xml:space="preserve">It is worth emphasizing, however, that the reported conduct refers to the field of wholesale distribution of pharmaceutical specialties, in which the supply consists of laboratories and the demand consists of wholesale distributors. These seek to compose a varied and diversified portfolio of products from different therapeutic areas that they in turn distribute to pharmacies. Although this market is closely related to retail distribution and the final consumption of the products, the analysis of substitutability is not necessarily the same. </w:t>
        <w:br/>
        <w:t xml:space="preserve">In light of the available information, it is not possible to conclude the existence of an individual or collective dominant position by the reported laboratories. In any case, it is not appropriate to elaborate further on this issue, since, as stated in the following Legal Ground, in the present case, even if the existence of a dominant position were concluded, it could not be said that there is abuse, as the DI maintains. </w:t>
        <w:br/>
        <w:t xml:space="preserve">FOURTH. The refusal to supply by a dominant operator is pursued under Article 2 of the LDC to prevent competition from being reduced and thus adversely affecting consumer welfare. In the present case, there are no indications that the refusal to supply reduces competition in the wholesale market in a way that harms consumers. The conduct does not imply the elimination of competition in the market, neither in wholesale distribution (multiple wholesale distributors continue to operate) nor in the final market. </w:t>
        <w:br/>
        <w:t xml:space="preserve">This Council considers that the parallelism drawn by the complainant between this case and the one analyzed in the GLAXOSMITHKLINE-GREECE case (Judgment of the ECJ of December 16, 2008, Joined Cases C-468/06 to C-478/06, Sot. Lelos kai Sia EE, Farmakemporiki AE Emporias kai Dianomis Farmakeftikon Proionton and Others v. GlaxoSmithKline AEVE Farmakeftikon Proionton, formerly Glaxowellcome AEVE) should be rejected. In the latter case, the refusal to supply being analyzed aimed to prevent parallel exports, an aspect that has not been evidenced in the present case, in which the complainants themselves repeatedly argue that the interruption of supply affects their relationship with the Pharmacies. </w:t>
        <w:br/>
        <w:t xml:space="preserve">In any case, as already pointed out by the DI – and previously by the Commercial Court No. 2 of Barcelona – the refusal to supply these two specific wholesalers finds an objective justification based on the need or willingness of certain laboratories to restructure their distribution networks to enhance their efficiency. This aspect has been highlighted by all the reported parties, and even economic studies have been presented that corroborate it. </w:t>
        <w:br/>
        <w:t xml:space="preserve">It cannot be considered that this decision by the different laboratories can be deemed abusive due to discrimination against the wholesalers with whom they have decided to sign a contract. Even if it were considered that the laboratories have a dominant position, this would not imply that they are obliged to satisfy every distributor that wants to place an order with them. Especially when the choice of their distributors is made following objective and business criteria such as those mentioned in Legal Ground Second. In fact, in this regard, the Court of First Instance No. 6 of Alcobendas already ruled on the lawsuit filed also by SEDIFA and GRUFARMA, in which they requested "to be supplied by Pfizer" invoking an alleged violation of Law 29/2006 on Guarantees and Rational Use of Medicines. Both the lawsuit (Ordinary Trial 660/2006) and the subsequent Appeal filed against it were entirely dismissed. The Fourth Legal Ground of the judgment issued by the Court of First Instance No. 6 of Alcobendas establishes that "laboratories, always within the margin established by law, can freely choose those wholesale companies they deem appropriate for the distribution of their products, guided by various criteria, from market share, distribution areas, costs involved in their maintenance, etc. It cannot be deduced from the current regulation the existence of a generic obligation imposed on all laboratories to supply their products inevitably when requested by any wholesaler. Likewise, it cannot be said that there is a general obligation on the part of wholesale warehouses to have all pharmaceutical specialties existing in the market." </w:t>
        <w:br/>
        <w:t xml:space="preserve">Therefore, in view of the proposal from the Directorate of Investigation and not finding indications of infringement of Law 15/2007 in the reported facts, the Council has decided not to initiate proceedings and to file the actions in accordance with the provisions of Article 49.3 of the aforementioned Law. </w:t>
        <w:br/>
        <w:t xml:space="preserve">For all the above reasons, in light of the cited provisions and others of general application, the Council of the National Competition Commission, </w:t>
        <w:br/>
        <w:t xml:space="preserve">RESOLVES </w:t>
        <w:br/>
        <w:t xml:space="preserve">SOLE.- Not to initiate sanctioning proceedings and to file the complaint filed by SEDIFA, S.L. and GRUFARMA, 92, S.L. against the pharmaceutical laboratories JANSSEN-CILAG, S.A. (JC), SANOFI-AVENTIS ESPAÑA, S.A. (SANOFI), NOVARTIS FARMACÉUTICA, S.A. (NOVARTIS), BOEHRINGER INGELHEIM ESPAÑA, S.A. (BI) and ASTRA ZENECA (AZ) for understanding that there are no indications of infringement of Article 2 of Law 15/2007, of July 3, on the Defense of Competition. </w:t>
        <w:br/>
        <w:t>Communicate this Resolution to the Directorate of Investigation and notify the complainants and the reported parties, informing them that this concludes the administrative process and that they may file a contentious-administrative appeal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