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https://www.cnmc.es/expedientes/s018009</w:t>
      </w:r>
    </w:p>
    <w:p>
      <w:r>
        <w:t>Pages translated : 15</w:t>
      </w:r>
    </w:p>
    <w:p/>
    <w:p>
      <w:r>
        <w:rPr>
          <w:b/>
        </w:rPr>
        <w:t>[Pages 1–3]</w:t>
      </w:r>
    </w:p>
    <w:p>
      <w:r>
        <w:t xml:space="preserve">Resolution  </w:t>
        <w:br/>
        <w:t xml:space="preserve">(File S/0180/10 ArcelorMittal.)  </w:t>
        <w:br/>
        <w:t xml:space="preserve">Council:  </w:t>
        <w:br/>
        <w:t xml:space="preserve">Messrs.:  </w:t>
        <w:br/>
        <w:t xml:space="preserve">D. Luis Berenguer Fuster, President  </w:t>
        <w:br/>
        <w:t xml:space="preserve">Dª. Pilar Sánchez Núñez, Vice President  </w:t>
        <w:br/>
        <w:t xml:space="preserve">D. Julio Costas Comesaña, Councilor  </w:t>
        <w:br/>
        <w:t xml:space="preserve">Dª. María Jesús González López, Councilor  </w:t>
        <w:br/>
        <w:t xml:space="preserve">Dª. Inmaculada Gutiérrez Carrizo, Councilor  </w:t>
        <w:br/>
        <w:t xml:space="preserve">In Madrid, on February 22, 2011.  </w:t>
        <w:br/>
        <w:t xml:space="preserve">The Council of the National Commission on Competition (CNC), with the composition expressed above, and with Councilor Dª María Jesús González López as the Rapporteur, has issued this resolution in the sanctioning file S/0180/10, ArcelorMittal, initiated by the Directorate of Investigation against ArcelorMittal España, S.A., for alleged restrictive practices of competition prohibited by Law 15/2007, of July 3, on the Defense of Competition.  </w:t>
        <w:br/>
        <w:t xml:space="preserve">FACTUAL BACKGROUND  </w:t>
        <w:br/>
        <w:t xml:space="preserve">1. The Spanish Federation of Food and Beverage Industries (FIAB), on December 30, 2008, reported to the National Commission on Competition (CNC) the commission of practices prohibited by article 1 of Law 15/2007, of July 3 (B.O.E. of the 7th), on the Defense of Competition (LDC) and by article 101 (then article 81 of the TCE) of the Treaty on the Functioning of the European Union (TFEU), by Mivisa Envases, S.A.U.; Auxiliar Conservera, S.A.; Crown Envases España, S.L.U.; Iberembal, S.L.; Metalgráfica Gallega, S.A.; Metalcaps, S.A.; Silgan White Cap Holdings Spain, S.L. and Envases Ballujera, S.L. According to the complaint, these practices would consist of the aforementioned companies fixing an increase in the prices of tinplate packaging destined for the food industry.  </w:t>
        <w:br/>
        <w:t xml:space="preserve">2. The Directorate of Investigation, in accordance with the provisions of article 49.2 of the LDC, carried out a reserved inquiry in which, on May 19, 2009, inspections were conducted at the premises of the Spanish Metalgraphic Association (AME); Mivisa Envases, S.A.U. (Mivisa); Crown Envases España, S.L.U. (Crown); Auxiliar Conservera, S.A. (Auxiliar Conservera) and ArcelorMittal España, S.A. (AM).  </w:t>
        <w:br/>
        <w:t xml:space="preserve">3. In view of the information obtained, taking into account AM's position in the supply of tinplate to metal packaging manufacturers and the evolution of tinplate prices, particularly in 2008, the DI considered that there were reasonable indications of the commission of an infringement of article 2 of the LDC and article 82 of the TCE (currently article 102 of the TFEU), which could consist of the commission of various practices aimed at the application of abusive prices and refusals to supply. Consequently, and in accordance with the provisions of section 1 of article 49 of the LDC, on September 1, 2009, the DI agreed to initiate this sanctioning file against AM, which was registered under number S/0180/09.  </w:t>
        <w:br/>
        <w:t xml:space="preserve">4. On November 26, 2009, the representation of Crown Embalajes España, S.L. requested its admission as an interested party in the file, which, in accordance with the provisions of article 31 of Law 30/1992, of November 26, on the Legal Regime of Public Administrations and the Common Administrative Procedure, was accepted by the DI on January 28, 2010, considering that it could be directly affected by the investigated conduct.  </w:t>
        <w:br/>
        <w:t xml:space="preserve">5. On February 8, 2010, in order to ascertain its position in the tinplate market, the DI requested information from AM, which was answered in writing on March 8, 2010.  </w:t>
        <w:br/>
        <w:t xml:space="preserve">6. On June 4, 2010, testimony was drawn from file S/0128/10, Manufacturers of Tinplate Packaging, incorporating certain information necessary for the proper instruction of the file in relation to the conduct of AM's competitor companies and customers.  </w:t>
        <w:br/>
        <w:t xml:space="preserve">7. On July 5, 2010, the DI, in accordance with the provisions of article 50.3 of the LDC, notified the parties of the Statement of Facts for allegations and evidence, in which it concluded:  </w:t>
        <w:br/>
        <w:t xml:space="preserve">"In view of all actions taken and in accordance with article 33.3 of the RDC, it is considered that the practice carried out by AM does not constitute an infringement of article 2 of the LDC, nor of article 101 of the TFEU, to the extent that it has not been proven that AM holds a dominant position nor that its conduct is abusive."  </w:t>
        <w:br/>
        <w:t xml:space="preserve">8. The legal representation of ArcelorMittal España, in a written statement dated July 21, 2010, waived making allegations and pointed out that there is a material error in the conclusions of the PCH referring to article 101 of the TFEU when it should refer to article 102 of the aforementioned Treaty.  </w:t>
        <w:br/>
        <w:t xml:space="preserve">9. Crown Embalajes España, S.L., does not submit allegations to the PCH nor propose evidence.  </w:t>
        <w:br/>
        <w:t xml:space="preserve">10. On June 23, 2010, the DI proceeded to close the investigation phase of the file, notifying the interested parties, and on July 26, in accordance with the provisions of article 50.4 of the LDC, the DI forwarded the Proposal for Resolution to them, according to which,  </w:t>
        <w:br/>
        <w:t xml:space="preserve">"In view of the actions taken, in accordance with article 50.4 of the LDC, it is PROPOSED: That it be declared that there are no prohibited conducts under article 2 of Law 15/2007, as well as article 102 of the TFEU."  </w:t>
        <w:br/>
        <w:t xml:space="preserve">11. On August 3, 2010, ArcelorMittal reviewed the file and submitted a written statement of allegations agreeing with the DI's Proposal for Resolution.  </w:t>
        <w:br/>
        <w:t xml:space="preserve">12. No allegations have been received regarding the Proposal for Resolution of the DI from the interested party Crown Embalajes España, S.L.  </w:t>
        <w:br/>
        <w:t xml:space="preserve">13. On August 17, 2010, and in accordance with the provisions of article 50.5 of the LDC, the DI submitted the aforementioned proposal for resolution to the Council with the mandatory report.  </w:t>
        <w:br/>
        <w:t xml:space="preserve">14. The Council deliberated and resolved on this file in its session of February 2, 2011.  </w:t>
        <w:br/>
        <w:t xml:space="preserve">15. The interested parties in this file are,  </w:t>
        <w:br/>
        <w:t xml:space="preserve">- ArcelorMittal España, S.A.  </w:t>
        <w:br/>
        <w:t xml:space="preserve">- Crown Envases España, S.L.U.  </w:t>
        <w:br/>
        <w:t xml:space="preserve">PROVEN FACTS  </w:t>
        <w:br/>
        <w:t xml:space="preserve">I. The parties.  </w:t>
        <w:br/>
        <w:t xml:space="preserve">The parties in this file are the investigated company ArcelorMittal (AM) and the company Crown Embalajes España (Crown), whose description made by the DI in the Report and Proposal for Resolution (IPR) is as follows:  </w:t>
        <w:br/>
        <w:t xml:space="preserve">"ArcelorMittal (AM)  </w:t>
        <w:br/>
        <w:t xml:space="preserve">AM is the largest steel producer worldwide, with operations in more than 60 countries, with industrial presence in 20 of them, and a production of 73.2 million tons of crude steel in 2009. AM is one of the main operators in all global steel markets, including automotive, construction, household appliances, packaging, etc.  </w:t>
        <w:br/>
        <w:t>Arcelor was born in February 2002 as a result of the merger of three steel companies: Aceralia Corporación Siderúrgica, Arbed, and Usinor. In 2006, at the time of its acquisition by Mittal Steel, Arcelor was the</w:t>
      </w:r>
    </w:p>
    <w:p>
      <w:r>
        <w:rPr>
          <w:b/>
        </w:rPr>
        <w:t>[Pages 4–6]</w:t>
      </w:r>
    </w:p>
    <w:p>
      <w:r>
        <w:t>second largest steel producer in the world in terms of production. On June 2, 2006, the European Commission approved the concentration between Mittal and Arcelor through Decision M.4137 Mittal/Arcelor.</w:t>
      </w:r>
    </w:p>
    <w:p>
      <w:r>
        <w:t>AM is listed on the stock exchanges of Amsterdam, Paris, Brussels, Luxembourg, Madrid, Barcelona, Valencia, and Bilbao.</w:t>
      </w:r>
    </w:p>
    <w:p>
      <w:r>
        <w:t xml:space="preserve">Crown Embalajes España (Crown) </w:t>
        <w:br/>
        <w:t>Crown is part of the international group Crown Holdings, Inc., and is directly dependent on the company Société De Participations Carnaudmetalbox, which in turn belongs to the company Crown European Holdings, encompassed within the Crown Holdings, Inc. group. The international group Crown Holdings, Inc., based in the United States, is the leading company in the manufacture of metal packaging for food, beverages, and personal care, as well as lids, with 136 plants in 41 countries around the world. In particular, Crown is divided into different sections focusing its activities on the factories it owns in Logroño and Murcia.</w:t>
      </w:r>
    </w:p>
    <w:p>
      <w:r>
        <w:t xml:space="preserve">II. The relevant market. - </w:t>
        <w:br/>
        <w:t xml:space="preserve">The market in which the conduct subject to investigation in this file takes place is the market for the manufacture and sale of steel with metal coating for packaging (tinplate) or the narrower market of tinplate for uses other than beverages. In its IPR, the DI includes a broad description of steel and the different types and finishes leading to steel with metal coating for packaging and the more specific one for beverage packaging, of which it states: </w:t>
        <w:br/>
        <w:t>"Within the designation of steels with metal coating, galvanized steel (coating of steel with zinc) and steel with metal coating for packaging (tinplate) are distinguished. The latter consists of thin rolls or sheets of steel that, through an electrolysis process, are covered by a thin layer of tin or chrome. Steel for packaging is primarily used in the food and beverage industries. Due to its characteristics, it is also possible to distinguish tinplate for beverage packaging (also called 'DWI tinplate') from tinplate for other uses ('non-DWI tinplate'), given the higher quality required in beverage tinplate (lower porosity and greater resistance during processing) and that the tinning lines must be wider to allow for the optimization of can production. Furthermore, the steel intended for beverages must be vacuum degassed in order to produce ultra-low carbon steel."</w:t>
      </w:r>
    </w:p>
    <w:p>
      <w:r>
        <w:t xml:space="preserve">III. Established facts. - </w:t>
        <w:br/>
        <w:t xml:space="preserve">In the inspection carried out at the ArcelorMittal headquarters on May 19, 2009, and in the subsequent investigations conducted, the DI has obtained information that is in the file and has not been refuted, which allows for the establishment of the following facts: </w:t>
        <w:br/>
        <w:t xml:space="preserve">1. The volume shares in the EU 27 and in Spain of AM for the years 2007 to 2009 and of its competitors for the years 2008/2009, both in tinplate in general and in the narrower market of tinplate for beverages, would be within the ranges set out below. According to the DI, the share for the European Economic Area (EEA) does not present significant differences. </w:t>
        <w:br/>
        <w:t xml:space="preserve">Volume shares of tinplate - EU-27 Volume shares of tinplate - Spain </w:t>
        <w:br/>
        <w:t xml:space="preserve">2007 2008 2009 2007 2008 2009 </w:t>
        <w:br/>
        <w:t xml:space="preserve">ArcelorMittal [20-40]% [30-40]% [20-30]% ArcelorMittal [50-60]% [60-70]% [50-60]% </w:t>
        <w:br/>
        <w:t xml:space="preserve">Corus [20-30]% [20-30]% Corus [10-20]% [10-20]% </w:t>
        <w:br/>
        <w:t xml:space="preserve">Lusosider [0-10]% [0-10]% Lusosider [0-10]% [0-10]% </w:t>
        <w:br/>
        <w:t xml:space="preserve">Riva [0-10]% [0-10]% [30-40]% Riva [0-10]% [0-10]% [60-70]% </w:t>
        <w:br/>
        <w:t xml:space="preserve">Thyssen [10-20]% [10-20]% Thyssen [20-30]% [20-30]% </w:t>
        <w:br/>
        <w:t xml:space="preserve">US Steel [0-10]% [0-10]% US Steel [0-10]% [0-10]% </w:t>
        <w:br/>
        <w:t xml:space="preserve">Imports [0-10]% [0-10]% [10-20]% Imports [0-10]% [0-10]% [10-20]% </w:t>
        <w:br/>
        <w:t xml:space="preserve">Total 100% 100% 100% Total 100% 100% 100% </w:t>
        <w:br/>
        <w:t xml:space="preserve">Volume shares of tinplate for other Volume shares of tinplate for other </w:t>
        <w:br/>
        <w:t xml:space="preserve">uses - EU-27 uses - Spain </w:t>
        <w:br/>
        <w:t xml:space="preserve">2007 2008 2009 2007 2008 2009 </w:t>
        <w:br/>
        <w:t xml:space="preserve">ArcelorMittal [20-30]% [30-40]% [20-30]% ArcelorMittal [60-70]% [60-70]% [50-60]% </w:t>
        <w:br/>
        <w:t xml:space="preserve">Corus [20-30]% [20-30]% Corus [10-20]% [0-10]% </w:t>
        <w:br/>
        <w:t xml:space="preserve">Lusosider [0-10]% [0-10]% Lusosider [0-10]% [0-10]% </w:t>
        <w:br/>
        <w:t xml:space="preserve">Riva [0-10]% [0-10]% [60-70]% Riva [0-10]% [0-10]% [30-40]% </w:t>
        <w:br/>
        <w:t xml:space="preserve">Thyssen [20-30]% [20-30]% Thyssen [0-10]% [10-20]% </w:t>
        <w:br/>
        <w:t xml:space="preserve">US Steel [0-10]% [0-10]% US Steel [0-10]% [0-10]% </w:t>
        <w:br/>
        <w:t xml:space="preserve">Imports [0-10]% [0-10]% [10-20]% Imports [0-10]% [0-10]% [10-20]% </w:t>
        <w:br/>
        <w:t xml:space="preserve">Total 100% 100% 100% Total 100% 100% 100% </w:t>
        <w:br/>
        <w:t xml:space="preserve">Volume shares of tinplate for Volume shares of tinplate for </w:t>
        <w:br/>
        <w:t xml:space="preserve">beverages - EU-27 beverages - Spain </w:t>
        <w:br/>
        <w:t xml:space="preserve">2007 2008 2007 2008 </w:t>
        <w:br/>
        <w:t xml:space="preserve">ArcelorMittal [20-30]% [30-40]% ArcelorMittal [30-40]% [30-40]% </w:t>
        <w:br/>
        <w:t xml:space="preserve">Corus [30-40]% [30-40]% Corus [20-30]% [20-30]% </w:t>
        <w:br/>
        <w:t xml:space="preserve">Thyssen [30-40]% [30-40]% Thyssen [30-40]% [30-40]% </w:t>
        <w:br/>
        <w:t xml:space="preserve">Total 100% 100% Total 100.0% 100.0% </w:t>
        <w:br/>
        <w:t xml:space="preserve">Source: ArcelorMittal </w:t>
        <w:br/>
        <w:t xml:space="preserve">2. There is also evidence in the file that in the Spanish tinplate market, in 2008, AM had […] major customers that accounted for between 70 and 80% of total tinplate sales for uses other than beverages and between 60 and 70% for total tinplate sales. </w:t>
        <w:br/>
        <w:t xml:space="preserve">3. Additionally, in a separate confidential file, detached from the file S/128/09, there is evidence that the packaging companies have more than one tinplate supplier. </w:t>
        <w:br/>
        <w:t xml:space="preserve">4. It is recorded in the file in information submitted by AM that between 2008 and early 2009, it announced and carried out two price increases "the one in August-September 2008 (€150 per ton) and the one in January 2009 (between €100 and €130 per ton). According to AM, "the price increase resulted in a reduction of discounts to customers; therefore, the official price scale of AM was maintained and the only change was a lesser discount applied to customers," and AM states that it attempted to apply the price increases to all customers to the extent contractually possible (folios 845 and 846). </w:t>
        <w:br/>
        <w:t xml:space="preserve">5. The letters communicating the price increases to customers were sent by AM between May 27 and June 2, 2008 (folios 185 to 198 and 678). In them, after referring to the increase in costs in the steel industry, it communicates that "the magnitude of these changes leads us to request understanding from our partners and, with great regret, forces us to introduce to our Packaging customers a surcharge of €150/t for raw materials starting July 1, 2008." </w:t>
        <w:br/>
        <w:t xml:space="preserve">6. It is also recorded that AM requested to meet and did so on June 4, 2008, with the Metalworking Association of Spain (AME) and the main companies that comprise it. The purpose of the meeting was to discuss tinplate prices, with no record of any agreement being reached (folio 672). </w:t>
        <w:br/>
        <w:t xml:space="preserve">7. The second increase of between €100 and €130/T was applied starting January 2009 (folio 845). In the information contained in a separate confidential file, difficulties in implementing this increase are noted. </w:t>
        <w:br/>
        <w:t>8. The evolution of AM's tinplate prices in Spain and in the EEA market followed the following trend throughout the analyzed period, with a decrease observed in 2009:</w:t>
      </w:r>
    </w:p>
    <w:p>
      <w:r>
        <w:rPr>
          <w:b/>
        </w:rPr>
        <w:t>[Pages 7–9]</w:t>
      </w:r>
    </w:p>
    <w:p>
      <w:r>
        <w:t>Evolution of AM's tinplate prices</w:t>
        <w:br/>
        <w:t>1050</w:t>
        <w:br/>
        <w:t>1000</w:t>
        <w:br/>
        <w:t>950</w:t>
        <w:br/>
        <w:t>900 EEE</w:t>
        <w:br/>
        <w:t>850 Spain</w:t>
        <w:br/>
        <w:t>800</w:t>
        <w:br/>
        <w:t>750</w:t>
        <w:br/>
        <w:t>700</w:t>
        <w:br/>
        <w:t>S1 S2 S1 S2 S1 S2</w:t>
        <w:br/>
        <w:t>2007 2008 2009</w:t>
        <w:br/>
        <w:t>Source: ArcelorMittal</w:t>
      </w:r>
    </w:p>
    <w:p>
      <w:r>
        <w:t>9. In the documentation collected by the DI, among other users of metal packaging, the arguments of the metalworking companies are echoed, justifying the price increases due to the increases in raw material prices, "high demand for steel from China, increase in the price of iron (65%), coal (200%), transportation, energy, tin..." (folios 122/123).</w:t>
      </w:r>
    </w:p>
    <w:p>
      <w:r>
        <w:t>10. There are also copies in the file of the publication The Canmaker 2008, Sayers Publishing Group, from October and November 2008 (folios 734-738), which indicate that the cause of the increase in the world price of tinplate is the rise in the price of hot rolled steel or "hot rolled coil" ("HRC"), from which tinplate is manufactured, by more than 50%, due to an increase in global demand for this product and the rise in its production cost due to the evolution of the price of its main raw materials.</w:t>
      </w:r>
    </w:p>
    <w:p>
      <w:r>
        <w:t>11. In an internal email from AM dated May 19, 2008 (folio 319 et seq.) and in order to justify the price increases of 2008, a series of tables and graphs are attached that contain information on the price increases of raw materials and their impact on the cost of HRC, which the DI summarizes in its report in the following table:</w:t>
        <w:br/>
        <w:t>Impact of the increase in raw material prices on the price of AM's HRC</w:t>
      </w:r>
    </w:p>
    <w:p>
      <w:r>
        <w:t>Utilization per Increase in Impact on the</w:t>
        <w:br/>
        <w:t>ton. HRC Price cost of HRC</w:t>
        <w:br/>
        <w:t>Iron Ore 1.58 52 $ 82 $</w:t>
        <w:br/>
        <w:t>Coke 0.66 210 $ 139 $</w:t>
        <w:br/>
        <w:t>Scrap 0.18 260 $ 46 $</w:t>
        <w:br/>
        <w:t>Others 23 $</w:t>
        <w:br/>
        <w:t>Total 290 $</w:t>
        <w:br/>
        <w:t>Source: ArcelorMittal</w:t>
      </w:r>
    </w:p>
    <w:p>
      <w:r>
        <w:t>12. And the aforementioned publication The Canmaker 2008, Sayers Publishing Group, from October and November 2008 (folios 734-738), publishes the following graph of the evolution of the price of HRC and tinplate that the DI includes in the IPR:</w:t>
        <w:br/>
        <w:t>Price of HRC and tinplate at the factory ($/t.)</w:t>
        <w:br/>
        <w:t>1400</w:t>
        <w:br/>
        <w:t>1300</w:t>
        <w:br/>
        <w:t>1200</w:t>
        <w:br/>
        <w:t>1100</w:t>
        <w:br/>
        <w:t>1000</w:t>
        <w:br/>
        <w:t>900</w:t>
        <w:br/>
        <w:t>800</w:t>
        <w:br/>
        <w:t>700</w:t>
        <w:br/>
        <w:t>600</w:t>
        <w:br/>
        <w:t>500</w:t>
        <w:br/>
        <w:t>Dec Feb Apr Jun Aug Oct Dec Feb Apr Jun</w:t>
        <w:br/>
        <w:t>2006 2007 2008</w:t>
        <w:br/>
        <w:t>Tinplate HRC</w:t>
        <w:br/>
        <w:t>Source: The Canmaker and Metal Bulletin Research. October 2008.</w:t>
      </w:r>
    </w:p>
    <w:p>
      <w:r>
        <w:t>13. In relation to the price increases of HRC, AM provides the following graphs of the evolution of the prices of iron ore, coke, and scrap (folio 841):</w:t>
      </w:r>
    </w:p>
    <w:p>
      <w:r>
        <w:t>Evolution of Iron Ore Price ($/t.)</w:t>
        <w:br/>
        <w:t>140</w:t>
        <w:br/>
        <w:t>120</w:t>
        <w:br/>
        <w:t>100</w:t>
        <w:br/>
        <w:t>80</w:t>
        <w:br/>
        <w:t>60</w:t>
        <w:br/>
        <w:t>40</w:t>
        <w:br/>
        <w:t>20</w:t>
        <w:br/>
        <w:t>0</w:t>
        <w:br/>
        <w:t>January April July October January April July October January April</w:t>
        <w:br/>
        <w:t>2006 2007 2008</w:t>
        <w:br/>
        <w:t>Source: ArcelorMittal and Steel Business Briefing</w:t>
      </w:r>
    </w:p>
    <w:p>
      <w:r>
        <w:t>Evolution of Coke Price ($/t.)</w:t>
        <w:br/>
        <w:t>400</w:t>
        <w:br/>
        <w:t>350</w:t>
        <w:br/>
        <w:t>300</w:t>
        <w:br/>
        <w:t>250</w:t>
        <w:br/>
        <w:t>200</w:t>
        <w:br/>
        <w:t>150</w:t>
        <w:br/>
        <w:t>100</w:t>
        <w:br/>
        <w:t>50</w:t>
        <w:br/>
        <w:t>0</w:t>
        <w:br/>
        <w:t>Sep Oct Nov Dec Jan Feb Mar Apr May Jun Jul Aug Sep Oct Nov Dec Jan Feb Mar Apr</w:t>
        <w:br/>
        <w:t>2006 2007 2008</w:t>
        <w:br/>
        <w:t>Source: ArcelorMittal and Steel Business Briefing</w:t>
      </w:r>
    </w:p>
    <w:p>
      <w:r>
        <w:rPr>
          <w:b/>
        </w:rPr>
        <w:t>[Pages 10–12]</w:t>
      </w:r>
    </w:p>
    <w:p>
      <w:r>
        <w:t>Scrap Price Evolution ($/t.)</w:t>
        <w:br/>
        <w:t>700</w:t>
        <w:br/>
        <w:t>600</w:t>
        <w:br/>
        <w:t>500</w:t>
        <w:br/>
        <w:t>400</w:t>
        <w:br/>
        <w:t>300</w:t>
        <w:br/>
        <w:t>200</w:t>
        <w:br/>
        <w:t>100</w:t>
        <w:br/>
        <w:t>0</w:t>
        <w:br/>
        <w:t>10</w:t>
        <w:br/>
        <w:t>2007 2008</w:t>
        <w:br/>
        <w:t>Imported Scrap East Asia Domestic Scrap Delivered at Factory</w:t>
        <w:br/>
        <w:t>Source: ArcelorMittal and Steel Business Briefing</w:t>
      </w:r>
    </w:p>
    <w:p>
      <w:r>
        <w:t>14. Finally, as AM states in response to questions from the DI (folio 847), "in the second half of 2009, tinplate prices experienced a reduction, in accordance with the evolution of the economic situation in the market, having settled at approximately the same level as that existing at the end of 2008."</w:t>
      </w:r>
    </w:p>
    <w:p>
      <w:r>
        <w:t>LEGAL GROUNDS</w:t>
      </w:r>
    </w:p>
    <w:p>
      <w:r>
        <w:t>First. Legal basis.- Article 51.5 of Law 15/2007, of July 3, on the Defense of Competition, unequivocally provides that "The Council of the National Competition Commission, upon concluding the proceedings and, where appropriate, informing the European Commission in accordance with the provisions of article 11.4 of Regulation (EC) No. 1/2003 of the Council, of December 16, 2002, concerning the application of the competition rules provided for in articles 81 and 82 of the Treaty, shall issue a resolution."</w:t>
      </w:r>
    </w:p>
    <w:p>
      <w:r>
        <w:t>Article 53.1 of the aforementioned Law 15/2007 states that the Resolutions of the CNC Council may declare, a) the existence of prohibited conducts; b) the existence of conducts that, due to their minor importance, are not capable of significantly affecting competition, and c) that the existence of prohibited practices has not been proven. Likewise, subsection 2.e) of the same article provides that the Resolutions may contain, among other measures, the filing of the proceedings in the cases provided for in the Law.</w:t>
      </w:r>
    </w:p>
    <w:p>
      <w:r>
        <w:t>Second. The prohibited conduct.- Article 2 of the LDC prohibits the abuse of a dominant position, that is, it prohibits the abusive exploitation by one or more companies of their dominant position in all or part of the national market.</w:t>
      </w:r>
    </w:p>
    <w:p>
      <w:r>
        <w:t>It specifies that the abuse may consist, in particular, of: a) The imposition, directly or indirectly, of unfair prices or other commercial or service conditions; b) The limitation of production, distribution, or technical development to the unjustified detriment of companies or consumers; c) The unjustified refusal to satisfy purchase requests for products or services; d) The application, in commercial or service relationships, of unequal conditions for equivalent performances, placing some competitors at a disadvantage compared to others; and e) The subordination of the conclusion of contracts to the acceptance of supplementary performances that, by their nature or according to commercial practices, are not related to the object of those contracts.</w:t>
      </w:r>
    </w:p>
    <w:p>
      <w:r>
        <w:t>For its part, Article 102 of the Treaty on the Functioning of the European Union prohibits identical conducts insofar as they may affect trade between Member States.</w:t>
      </w:r>
    </w:p>
    <w:p>
      <w:r>
        <w:t>For a conduct to be declared an infringement for abuse of a dominant position, both provisions require that it be carried out from a position of dominance in the relevant market and that the conduct itself be abusive.</w:t>
      </w:r>
    </w:p>
    <w:p>
      <w:r>
        <w:t>The first question, therefore, is to analyze whether AM has a dominant position that allows for abuse. According to established case law since the Judgment of the CJEU of February 14, 1978, Case 26/76, UNITED BRANDS v Commission, a dominant position is one that "…is an economic strength enjoyed by an operator that enables it to impede the maintenance of effective competition in the relevant market by providing it with the power to behave to an adequate extent independently of its competitors, customers, and ultimately, consumers."</w:t>
      </w:r>
    </w:p>
    <w:p>
      <w:r>
        <w:t>Such a position of economic strength may be defined by the company's market share or by other factors that confer market power and allow it such independence, or in other words, that allow it to raise prices above the competitive level.</w:t>
      </w:r>
    </w:p>
    <w:p>
      <w:r>
        <w:t>In any case, to analyze whether AM enjoys a dominant position that enables it to carry out an abuse from that position, it is necessary to define the relevant market "both from a geographical and product perspective," as stated in the Judgment of the Community Court of February 13, 1979, Case 85/76, HOFFMAN-LA ROCHE v COMMISSION.</w:t>
      </w:r>
    </w:p>
    <w:p>
      <w:r>
        <w:t>Third. The relevant market.- Regarding the product market, the DI, relying on national and community precedents, concludes that the doubt may lie in defining the relevant market as the manufacture and sale of metal-coated steel for packaging (tinplate) or the narrower one of manufacture and sale of metal-coated steel for uses other than beverages.</w:t>
      </w:r>
    </w:p>
    <w:p>
      <w:r>
        <w:t>The European Commission has left open the possibility of considering metal-coated steel for beverage packaging (also referred to as "DWI tinplate") and metal-coated steel for other uses ("non-DWI tinplate") as two separate markets. In Case Comp/CECA.1351 - Usinor/Arbed/Aceralia, it particularly points out the following factors for such separation: the higher quality required in tinplate for beverages (lower porosity and greater resistance during processing), the wider coating lines that must be used to optimize the production of cans, and that the steel intended for beverages must be vacuum degassed in order to produce ultra-low carbon steel.</w:t>
      </w:r>
    </w:p>
    <w:p>
      <w:r>
        <w:t>AM, on the other hand, considers that the market for tinplate for the production of packaging constitutes a single product market regardless of the specific use subsequently given to that material within the manufacture of packaging.</w:t>
      </w:r>
    </w:p>
    <w:p>
      <w:r>
        <w:t>As for the geographical dimension, the DI refers to the Commission's statement in Case No. COMP/M.4137 - Mittal/Arcelor, in which, without closing the definition, as it was not necessary for the purposes of the concentration being analyzed, it considers in point 65 that the market investigation indicates that the packaging market is at least of EEA dimension.</w:t>
      </w:r>
    </w:p>
    <w:p>
      <w:r>
        <w:t>The Council agrees with the DI in taking into account both possibilities regarding the product market for the purposes of analysis, focusing on the narrowest possible segment, that of production and distribution of tinplate for uses other than beverages, with at least a European geographical scope, but without forgetting that the investigated conducts take place in Spain.</w:t>
      </w:r>
    </w:p>
    <w:p>
      <w:r>
        <w:t>Fourth. AM's position in the market.- As stated in the second legal ground, the dominant position of a company is the situation that allows it sufficient independence to act in its market without duly considering competitors and consumers, or in the words of the Competition Defense Tribunal, predecessor of this Council in the Resolutions Aluminios Navarra, Electra Avellana, and Bacardí, "A company enjoys a dominant position in a market when it has in it sufficient economic power and behavioral independence to act without taking into account the possible reactions of competitors and, in this way, be able to modify to its advantage the price or another characteristic of the product."</w:t>
      </w:r>
    </w:p>
    <w:p>
      <w:r>
        <w:t>And a first approximation, although not the only one, to determine whether a company has a dominant position in a given market is the market share it has in it, since, as the Commission states in the Communication "Guidelines on the Commission's priorities in its application of Article 82 of the EC Treaty to the abusive exclusionary conduct of dominant companies," (2009/C 45/02), OJ of February 29, 2009, which collects the extensive legal doctrine existing to date, "The Commission considers that low market shares are generally a good indication of a lack of significant market power. According to the Commission's experience, dominance is unlikely if the company's market share in the market of...</w:t>
      </w:r>
    </w:p>
    <w:p>
      <w:r>
        <w:rPr>
          <w:b/>
        </w:rPr>
        <w:t>[Pages 13–15]</w:t>
      </w:r>
    </w:p>
    <w:p>
      <w:r>
        <w:t>existing legal doctrine to date, "The Commission considers that low market shares are generally a good indication of a lack of significant market power. According to the Commission's experience, it is unlikely that there will be dominance if the company's market share in the relevant market is below 40%. However, there may be specific cases below this threshold where competitors are not in a position to exert effective influence over the conduct of a dominant company, for example, when they face significant capacity constraints. These cases may also warrant the Commission's attention."</w:t>
      </w:r>
    </w:p>
    <w:p>
      <w:r>
        <w:t>This Communication also states that shares must be interpreted in light of the conditions of the relevant market.</w:t>
      </w:r>
    </w:p>
    <w:p>
      <w:r>
        <w:t>In the case at hand, AM's shares in 2008, in either of the two relevant markets identified, that of tinplate and the narrower one of tinplate for uses other than beverages, for the scope for which information is available, which is that of the European Union (equivalent to the EEA), were below [30-40]%, which in principle and in the opinion of the Council makes it unlikely that AM has an individual dominant position in these markets. It is even less likely that it enjoys dominance in the EU context considering that in 2009 the shares in both markets fell by almost [5-10] percentage points, to levels of [20-30]%.</w:t>
      </w:r>
    </w:p>
    <w:p>
      <w:r>
        <w:t>In any case, the DI, once aware of the shares, analyzed the conditions of the tinplate markets and in support of the previous conclusion states the following: "Moreover, there are other factors, such as the strength of AM's competitors, that reinforce these indications. In particular, both Corus, with a share of [20-30]%, and Rasselstein (Thyssen), with a share of [20-30]%, are at a production level close to that of AM. The same can be said for the shares in the narrower markets of tinplate for beverages and tinplate for other uses. In this sense, the stronger the competing companies, the lesser AM's ability to behave independently of them and, therefore, to enjoy an individual dominant position. In terms of production capacity, the situation does not present significant differences (folios 829-830 and 874).</w:t>
      </w:r>
    </w:p>
    <w:p>
      <w:r>
        <w:t>On the other hand, the competitive situation in this market was studied in 2006 by the European Commission in Case M.4137 Mittal/Arcelor, and at that time, the market presented similar characteristics. In that case, AM had a market share in tinplate of between 30 and 40%, and the Commission stated the following regarding the European market (own translation): "101. Given that AM has minimal sales and does not sell in the beverage market, the competition analysis is the same whether a single market for metal-coated steel for packaging is considered or separate markets for beverages and other uses. Competitors include Corus ([25-35]%), TKS ([15-25]%), Riva ([0-10]%) and US Steel Kosice ([0-10]%). The market investigation does not raise issues in this market. Given the presence of significant competitors and the very low increase in market share, the operation does not raise competition issues in this market."</w:t>
      </w:r>
    </w:p>
    <w:p>
      <w:r>
        <w:t>Once the individual dominant position of AM in the tinplate market or in the narrower tinplate market for uses other than beverages has been ruled out, in the EEA context, the DI in its Report and Proposal for Resolution makes an assessment of AM's position in the Spanish geographical scope of those markets, reaching a similar conclusion of absence of dominance. Since the Spanish market is not relevant for the purposes of defining AM's dominant position, no ruling from the Council is required for the purposes of this file.</w:t>
      </w:r>
    </w:p>
    <w:p>
      <w:r>
        <w:t>Therefore, the Council agrees with the DI that, with the information contained in the file and specifically with the evidentiary information of AM's market shares and those of its competitors in the years 2007 to 2009, it cannot be concluded that AM has an individual dominant position in the tinplate market for packaging or in the narrower tinplate market for other uses.</w:t>
      </w:r>
    </w:p>
    <w:p>
      <w:r>
        <w:t>Fifth.- The conduct. Without prejudice to the fact that the individual dominant position of AM in the relevant EEA market has not been established, the DI analyzes the conduct that led to the initiation of the file, specifically the significant price increase applied by AM in 2008 and early 2009.</w:t>
      </w:r>
    </w:p>
    <w:p>
      <w:r>
        <w:t>Indeed, in June 2008 and early 2009, AM announced and carried out two significant price increases, the first of €150 per ton and the one in January 2009 between €100 and €130 per ton (HP III.4).</w:t>
      </w:r>
    </w:p>
    <w:p>
      <w:r>
        <w:t>But it is also evidenced in the file: a) that these increases in the price of tinplate occurred in a context of rising prices of hot rolled steel or "hot rolled coil" ("HRC"), the material from which tinplate is made and which affects its cost by more than 50%. There is also documentation in the file explaining the price increases of this material as a result of an increase in steel demand in China and the rise in prices of raw materials such as iron and coke (HP III, 9 to 13); b) that the prices of tinplate also followed the downward trend when, in 2009, steel and raw material prices fell (HP III, 8 and 15).</w:t>
      </w:r>
    </w:p>
    <w:p>
      <w:r>
        <w:t>Therefore, even assuming that AM enjoyed a dominant position in the market, which has not been established and additional proof of this are the difficulties AM had in getting customers to accept the price increases (HP III, 7) and the loss of share in 2009, AM's conduct, that is, the communication and application by AM of a price increase for tinplate for other uses, in the months of June 2008 and January 2009, could have an objective justification in the increases in the prices of tinplate inputs, as evidenced by the information contained in the file.</w:t>
      </w:r>
    </w:p>
    <w:p>
      <w:r>
        <w:t>Seen the cited provisions and the others of general application, the Council of the National Competition Commission in the composition recorded at the beginning,</w:t>
      </w:r>
    </w:p>
    <w:p>
      <w:r>
        <w:t>RESOLVES</w:t>
      </w:r>
    </w:p>
    <w:p>
      <w:r>
        <w:t>SOLE.- Declare that, in the conduct analyzed in this file carried out by the company ArcelorMittal España, S.A., the existence of practices prohibited by article 2 of the LDC and article 102 of the TFEU has not been established.</w:t>
      </w:r>
    </w:p>
    <w:p>
      <w:r>
        <w:t>Communicate this Resolution to the Directorate of Investigation and notify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