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https://www.cnmc.es/expedientes/s018509</w:t>
      </w:r>
    </w:p>
    <w:p>
      <w:r>
        <w:t>Pages translated : 30</w:t>
      </w:r>
    </w:p>
    <w:p/>
    <w:p>
      <w:r>
        <w:rPr>
          <w:b/>
        </w:rPr>
        <w:t>[Pages 1–3]</w:t>
      </w:r>
    </w:p>
    <w:p>
      <w:r>
        <w:t xml:space="preserve">Id. Cendoj: 28079230062013100088  </w:t>
        <w:br/>
        <w:t xml:space="preserve">Body: National Court. Administrative Litigation Chamber  </w:t>
        <w:br/>
        <w:t xml:space="preserve">Venue: Madrid  </w:t>
        <w:br/>
        <w:t xml:space="preserve">Section: 6  </w:t>
        <w:br/>
        <w:t xml:space="preserve">Resolution No.:  </w:t>
        <w:br/>
        <w:t xml:space="preserve">Date of Resolution: 25/02/2013  </w:t>
        <w:br/>
        <w:t xml:space="preserve">Appeal No.: 390/2011  </w:t>
        <w:br/>
        <w:t xml:space="preserve">Jurisdiction: Administrative Litigation  </w:t>
        <w:br/>
        <w:t xml:space="preserve">Rapporteur: LUCIA ACIN AGUADO  </w:t>
        <w:br/>
        <w:t xml:space="preserve">Procedure: ADMINISTRATIVE LITIGATION  </w:t>
        <w:br/>
        <w:t xml:space="preserve">Type of Resolution: Judgment  </w:t>
        <w:br/>
        <w:t xml:space="preserve">Summary:  </w:t>
        <w:br/>
        <w:t xml:space="preserve">Defense of Competition. Hydraulic pumps. No expiration due to exceeding the instruction period of 12 months as it did not exceed 18 months. Single and continuous infringement. No reduction of the fine due to the financial situation of the company.  </w:t>
        <w:br/>
        <w:t xml:space="preserve">Language:  </w:t>
        <w:br/>
        <w:t xml:space="preserve">Spanish  </w:t>
        <w:br/>
        <w:t xml:space="preserve">JUDGMENT  </w:t>
        <w:br/>
        <w:t xml:space="preserve">Madrid, on the twenty-fifth of February two thousand thirteen.  </w:t>
        <w:br/>
        <w:t xml:space="preserve">Having seen the administrative contentious appeal No. 390/2011 filed before this Sixth Section of the Administrative Litigation Chamber of the National Court by KSB ITUR SPAIN represented by the Attorney of the Courts Mr. Federico Ortiz Cañabate Levenfeld against the resolution of the Council of the National Competition Commission (CNC) of June 24, 2011, file S/0185/09 Fluid Pumps. The defendant Administration has been represented and defended by the State Attorney. The amount of the appeal is 2,131,900 euros.  </w:t>
        <w:br/>
        <w:t xml:space="preserve">FACTUAL BACKGROUND  </w:t>
        <w:br/>
        <w:t xml:space="preserve">UNIQUE: The legal representation of the plaintiff filed an administrative contentious appeal on July 29, 2011 against the resolution indicated in the heading of this judgment before this Administrative Litigation Chamber of the National Court. It was assigned to the sixth section where it was admitted for processing, requesting the administrative file. A claim was filed on January 23, 2012 requesting "a judgment to be issued declaring the illegality of the present administrative contentious appeal: 1) declaring the illegality of the resolution object of the appeal, in all that refers to KSB Itur SA 2) declaring the illegality of the declaration of joint liability between KSB Itur and KSB A.G of the second resolve of the resolution 3) As a strictly subsidiary measure, declaring the illegality and, consequently, annulling the third resolve of the resolution object of the present appeal, not imposing any fine or substituting it with one that takes into account the reduced participation of my represented party in the behaviors sanctioned by the CNC, the lack of implementation of the agreements and the lack of direct culpability of my client, as well as the lack of seriousness of the judged behaviors and their lack of harmful effects in the market. 4) declaring the illegality and, consequently, annulling the fourth resolve of the resolution object of the appeal, 5) imposing the procedural costs on the defendant Administration."  </w:t>
        <w:br/>
        <w:t xml:space="preserve">The State Attorney was summoned and responded to the claim by means of a written statement dated April 4, 2012. After agreeing to the receipt of evidence and having taken the relevant declarations, conclusions were submitted, declaring the proceedings concluded on January 11, 2013. The voting and ruling were scheduled for January 29, 2013.  </w:t>
        <w:br/>
        <w:t xml:space="preserve">HAVING SEEN the legal articles cited by the parties and others of general and pertinent application, and being the Rapporteur Ms. LUCIA ACIN AGUADO, Judge of the Section.  </w:t>
        <w:br/>
        <w:t xml:space="preserve">LEGAL REASONING  </w:t>
        <w:br/>
        <w:t xml:space="preserve">FIRST: The act being challenged is the resolution of the Council of the National Competition Commission (CNC) of June 24, 2011, file S/0185/09 Fluid Pumps. The appellant seeks the annulment of said resolution and specifically the following sections of the challenged resolution:  </w:t>
        <w:br/>
        <w:t xml:space="preserve">"FIRST. Declare that in the present file the existence of a conduct prohibited by Article 1.1.a) of Law 15/2007, of July 3, on Defense of Competition, and by Article 101.1.a of the Treaty on the Functioning of the European Union has been proven from 2004 until at least 2009 for which the following companies are responsible, in the terms set forth in the Seventh Legal Basis, along with the AEFBF: (.....) KSB ITUR SPAIN SA (...)  </w:t>
        <w:br/>
        <w:t xml:space="preserve">SECOND. Declare that the Qualification Procedure for ECIs and the Quality Model of the AEFBF as formulated contain clauses restrictive of competition and are likely to hinder competition in the market for fire-fighting equipment, constituting a prohibited conduct under Article 1.1 of Law 15/2007, of July 3, on Defense of Competition and Article 101.1 of the Treaty on the Functioning of the European Union, for which the following companies are responsible, in the terms set forth in the Seventh Legal Basis, along with the AEFBF: (.....) KSB ITUR SPAIN SA and jointly liable its parent KSB, AG  </w:t>
        <w:br/>
        <w:t xml:space="preserve">THIRD. Impose the following fines on the authors of the infringements. (.....) 2,131,900 to KSB ITUR SPAIN SA  </w:t>
        <w:br/>
        <w:t xml:space="preserve">FOURTH. Declare that GRUPO INDUSTRIAL ERCOLE MARELLI, S.A. meets the requirements set forth in Article 65 of the LDC, therefore it is agreed to exempt it from the payment of the fine indicated in the Third Resolve.  </w:t>
        <w:br/>
        <w:t xml:space="preserve">SEVENTH. Urge the Directorate of Investigation to monitor compliance with this Resolution."  </w:t>
        <w:br/>
        <w:t xml:space="preserve">SECOND: The CNC in the challenged resolution considers proven the existence of two conducts contrary to Articles 1 LDC 15/2007 and 101 TFEU developed between 2004 and 2009 by manufacturers and marketers of pumps and fluids.  </w:t>
        <w:br/>
        <w:t xml:space="preserve">The first infringement, unique and continuous considered as a cartel consists of the exchange of information and harmonization of commercial conditions regarding fluid pumps. The second would consist of the agreements adopted by associated and non-associated companies of the AEFBF, with the participation of the AEFBF, regarding fire-fighting equipment.  </w:t>
        <w:br/>
        <w:t xml:space="preserve">Regarding the first of the two cited conducts, the Council considers proven that, starting from the AEFBF meeting of November 22, 2004, there has been coordination among competing companies in the fluid pump business, with the collaboration of said association, for the establishment of commercial conditions that has lasted until at least the time when the inspections took place. The declaration of intentions agreed upon in that meeting to "expand the scope of the association and convert it into a true forum for the exchange of information about the sector...., into a group with lobbying power, create common sales policies..." became a priority objective as shown by the actions developed since then, without adequately respecting the provision of Article 5 of the Association's own Statutes, which contemplates the exemption from such coordination of the policies and commercial actions prohibited by Article 1 LDC. The Council highlights that the agreements affect variables in which the companies were competing and that significantly affect competition, as they constitute part of the effective cost of the transaction. Thus, the coordination has encompassed: the conditions for formalizing the order, the content of the agreed prices (excluding transportation of the product, special packaging, or insurance which are always at the buyer's expense) or the conditions for delivery of the product (after loading at the seller's warehouse, the buyer assumes all responsibility for the product, not accepting in any case the condition "the delivery time is essential", determination of the penalty in case of delay in delivery by the seller: a grace period of 15 days and it should not exceed 0.5% weekly up to a maximum of 50%); the determination of concepts to be billed independently: the cost of storage in case of delay in receiving the product that accrues from the 7th day on which availability has been communicated to the buyer and that of the commissioning of the equipment); the deadlines and method of payment (it shall not exceed 90 days from the invoice date in any case) and the amount of penalty clauses; and the conditions of the warranty, in particular, its scope (the seller's liability shall not exceed the amount of the product that gave rise to the claim), shall not include unskilled labor necessary for the assembly and disassembly of the pumps on site, duration (12 months after commissioning or 18 months from delivery) and deadlines for claims (30 days from receipt of the product in case of defects) as well as the amount of guarantees during its validity.  </w:t>
        <w:br/>
        <w:t xml:space="preserve">Regarding the exchanges of information, the Council considers that they are part of the same infringement as the setting of general conditions of sale as they respond to the common plan to harmonize commercial strategies to improve, in a concerted manner, the negotiating position against clients. These exchanges of information refer to exchanges of information about price increases, annual billing (production statistics), and the prices of after-sales services.  </w:t>
        <w:br/>
        <w:t>Regarding the second of the conducts attributed not recognized as a cartel, that is, the agreements related to fire-fighting equipment (ECIs) adopted by companies</w:t>
      </w:r>
    </w:p>
    <w:p>
      <w:r>
        <w:rPr>
          <w:b/>
        </w:rPr>
        <w:t>[Pages 4–6]</w:t>
      </w:r>
    </w:p>
    <w:p>
      <w:r>
        <w:t>proceedings, since the maximum period of 18 months has not been exceeded.</w:t>
      </w:r>
    </w:p>
    <w:p>
      <w:r>
        <w:t>b) Regarding the expiration due to the absence of a resolution at the end of the maximum period of 18 months established in the LDC from the initiation agreement to the notification of the resolution. The maximum period of 18 months is calculated from the initiation agreement on September 16, 2009, until the resolution is notified. The Council's agreement to modify the legal qualification of the facts on February 18, 2011, and the subsequent suspension of the maximum period for resolution, means that the maximum period has not expired. The suspension of the maximum period for resolution is valid and justified under the provisions of the applicable regulations.</w:t>
      </w:r>
    </w:p>
    <w:p>
      <w:r>
        <w:t>c) In conclusion, the arguments presented by the appellant regarding the expiration of the proceedings are unfounded, as the maximum period for resolution has not been exceeded, and the procedural rules have been respected.</w:t>
      </w:r>
    </w:p>
    <w:p>
      <w:r>
        <w:t>SEXTO: En virtud de lo expuesto, el Consejo acuerda desestimar el recurso interpuesto por KSB ITUR y confirmar la resolución impugnada en todos sus términos.</w:t>
      </w:r>
    </w:p>
    <w:p>
      <w:r>
        <w:rPr>
          <w:b/>
        </w:rPr>
        <w:t>[Pages 7–9]</w:t>
      </w:r>
    </w:p>
    <w:p>
      <w:r>
        <w:t xml:space="preserve">procedure as it is not provided for in the LDC.  </w:t>
        <w:br/>
        <w:t xml:space="preserve">b) Regarding the expiration due to the absence of a resolution at the end of the maximum period of 18 months provided in the LDC. There is a disagreement between the parties as to whether this period has been exceeded.  </w:t>
        <w:br/>
        <w:t xml:space="preserve">The party understands that the 18-month period has been exceeded from the initiation of the file until the notification of the resolution that concludes the sanctioning file since, although it admits that the maximum duration of the procedure may be suspended for the reasons provided in Article 37 of the LDC 15/2007, the Competition Defense Regulation specifies the period until which the suspension extends. Specifically, Article 37.1 LDC 2007 establishes that the maximum may be interrupted e) "When the Council of the National Competition Commission agrees to the practice of evidence or complementary actions in accordance with the provisions of Article 51" and Article 12 of the RDC 2008 establishes the period in which the suspension of the time limit must be understood for each of the suspension cases in Article 37 of the Law and in relation to the case of Article 3.1 e) states in paragraph 1 b) "in the case provided for in Article 37.1.e) of Law 15/2007, of July 3, for the time necessary for the incorporation of the results of the evidence or complementary actions into the file." From this, the appellant deduces that the suspension period covers exclusively until the results of the evidence are incorporated but not the period for allegations provided in Article 51.1 LDC which establishes that "The Council of the National Competition Commission may order, ex officio or at the request of any interested party, the practice of evidence different from those already practiced before the Directorate of Investigation in the instruction phase as well as the carrying out of complementary actions in order to clarify specific issues for the formation of its judgment. The agreement to practice evidence and carry out complementary actions will be notified to the interested parties, granting a period of seven days to formulate the allegations they deem pertinent. Said agreement will set, whenever possible, the deadline for its execution."  </w:t>
        <w:br/>
        <w:t xml:space="preserve">The CNC understands in the contested resolution that paragraph 1 of Article 12 of the RDC 2008 must be related to paragraph 2 of the same article which establishes that "for the lifting of the suspension of the maximum period, the competent body of the National Competition Commission must issue a new agreement in which it will determine that the computation of the period is understood to be resumed from the day following the resolution of the incident that led to the suspension and the new date of the maximum period to resolve the procedure. This agreement to lift the suspension will also be notified to the interested parties." Therefore, the computation of the period can only be understood to be resumed "from the day following the resolution of the incident that led to the suspension" and the resolution of the incident that led to the suspension did not occur until all the allegations from the parties were received by the Council after the incorporation of the evidence and complementary actions into the file.  </w:t>
        <w:br/>
        <w:t xml:space="preserve">The Chamber shares the CNC's criterion since, although the literal wording of Article 12.1 RDC 2008 allows reaching the conclusion that the appellant holds (referring to the fact that the suspension period covers until the results of the evidence practiced are incorporated into the file and does not include the period for allegations), by establishing that the suspension period covers "in the case provided for in Article 37.1.e) of Law 15/2007, of July 3, for the time necessary for the incorporation of the results of the evidence or complementary actions into the file" it is necessary to integrate that paragraph with what is established in paragraph 12.2 RDC 2008 which establishes that the computation of the period will resume the day after the resolution of the incident and according to Article 51.1 LDC 2007 the incident covers not only the practice of evidence but expressly establishes a procedure for allegations for a period of 7 days. Therefore, if the evidentiary incident does not conclude until the interested parties in the procedure have made allegations evaluating the result of what has been acted upon, the lifting of the suspension does not proceed until that period has elapsed. The CNC sets out in the contested resolution the reasons why this interpretation is appropriate, referring to the spirit and purpose pursued by the provisions regulating the suspension of the sanctioning procedure during the resolution phase: the performance in the Council phase of actions other than the adoption of the final decision is exceptional, to the extent that the instruction phase is provided for this purpose and therefore when it is necessary to carry out complementary actions to adopt the decision, it intends by establishing the suspension of the maximum period for resolution that this time is not computed in the period provided for the resolving body, prior to analyzing the vast documentation that integrates the administrative file, to issue the corresponding resolution which has been set at 6 months.  </w:t>
        <w:br/>
        <w:t xml:space="preserve">The Supreme Court (judgment of January 13, 2010 rec. 1279/2007) has declared that the expiration of sanctioning procedures is a legal institution aimed at avoiding unjustified delays in resolving them, as the legislator understands that the sanctioned subjects find themselves in an unfavorable situation that should not be unduly prolonged by the sanctioning Administration. If the delay is not due to administrative negligence but is prompted by the need to communicate to the parties the change in legal qualification, the practice of complementary evidence, giving them the opportunity to express themselves regarding those actions, that time should not be computed for the duration of the procedure when precisely this aims to safeguard their right to defense.  </w:t>
        <w:br/>
        <w:t xml:space="preserve">SIXTH: Regarding the incorrect application of the leniency rules provided in the LDC with violation of the principles of legality and typicity, the appellant states that in this case the characteristic notes of the cartel are not met in relation to the first conduct attributed, considering that the definition contained in the fourth additional provision LDC 2007 defines the cartel as "Any secret agreement between two or more competitors whose object is the fixing of prices, production or sales quotas, the allocation of markets, including fraudulent bids, or the restriction of imports or exports." It points out that the failure to comply with the characteristic notes of the cartel means that the exemption from the payment of the fine should not be granted since Article 65.1 a) regarding the exemption from the payment of the fine establishes that a company will be exempted from the payment of the fine that would have corresponded to impose on it when "it is the first to provide elements of proof that, in the opinion of the National Competition Commission, allow it to verify an infringement of Article 1, in relation to a cartel..."  </w:t>
        <w:br/>
        <w:t xml:space="preserve">Regardless of whether the first conduct attributed is or is not a cartel (the second infringement has been established by the CNC as not being one), it is not appropriate to examine this allegation since, according to the view of the appellant, what it seeks is solely the annulment of the contested resolution in the part that agrees to exempt GRUPO INDUSTRIAL ERCOLE MARELLI SA from the payment of the fine under Article 65.1 a) LDC 2007, not having the appellant standing to appeal that part of the ruling, as the non-imposition of a fine on that other company in the leniency program does not affect its legal sphere in any way.  </w:t>
        <w:br/>
        <w:t xml:space="preserve">SEVENTH: Regarding the lack of defense generated to a third company KSB AG in the present procedure. It considers that the applicable rules to sanctioning procedures have been infringed regarding the declaration of joint liability of KSB AG concerning the second of the infringements attributed to the appellant KSB ITUR SPAIN SA. It points out that said company is legally independent from the appellant here and has not been notified of any of the relevant administrative acts of file S/185/09 in order to present its positions and defend its rights (charge sheet, proposal for resolution, and the contested CNC resolution here).  </w:t>
        <w:br/>
        <w:t xml:space="preserve">The appellant does not question that the requirements set forth in Article 61.2 of the LDC 2007 are met, which establishes that "For the purposes of the application of this Law, the actions of a company are also attributable to the companies or persons that control it, except when its economic behavior is not determined by any of them," but questions that the parent company has been sanctioned without being heard. Indeed, as the appellant points out, under Spanish law, the principle is established that no one can be sanctioned without having had the opportunity to be heard. However, if it turns out that both companies form an economic unit and there is no autonomy in the design of their commercial policies and activities and the responsibility of the parent derives exclusively from the activity carried out by the subsidiary, it cannot be declared, as the appellant intends, the nullity of the contested resolution due to the fact that the successive acts of the procedure have not been notified to the parent company and it has not had the opportunity to present the appropriate allegations. In the administrative route, the subsidiary had the opportunity to allege the non-existence of economic and commercial unity with its parent, and this is recorded in the contested resolution "(...) and ITUR also state that they have full autonomy from their parent in their commercial policies and activity design" (legal basis four, page 97 of the contested resolution). The CNC dismissed that allegation referring to the fact that the economic behavior of KSB ITUR SPAIN SA is determined by the parent KSB AG by controlling the share capital of intermediary companies. Neither in the administrative route nor in this contentious-administrative appeal has the subsidiary presented evidence demonstrating independence in its policy and commercial activity in order to rebut that presumption that the parent exerts decisive influence given the participation in the share capital, so it is not appreciated that a lack of defense has been caused, considering the parent and the subsidiary as an economic unit for the purposes provided in the competition regulations.  </w:t>
        <w:br/>
        <w:t>According to the judgment of the General Court of the European Union (Eighth Chamber) judgment of June 16, 2011 in the joined cases -204/08 and T-212/08, Team Relocations NV 150) "in the specific case of a parent company that owns 100% of the share capital of its subsidiary that engages in infringing behavior, as in the present case, there is a rebuttable presumption that the parent exercises decisive influence over the commercial policy of its subsidiary (see in this sense the judgments of the Court of Justice of October 25, 1983, AEG/Commission, 107/82, Rec. p. 3151, paragraph 50, and of November 16, 2000, Stora Kopparbergs Bergslags/Commission, C-286/98 P, Rec. p. I-9925, paragraph 29, and the judgments of the General Court of April 20, 1999, Limburgse Vinyl Maatschappij and others/Commission, T-305/94 to T-307/94, T-313/94 to T-316/94, T-318/94, T-325/94, T-328/94, T-329/94 and T-335/94, Rec. p. II-931, paragraphs 961 and 984, and of December 12, 2007, Akzo Nobel and others/Commission, T-112/05, Rec. p. II-5049, paragraph 62).</w:t>
      </w:r>
    </w:p>
    <w:p>
      <w:r>
        <w:rPr>
          <w:b/>
        </w:rPr>
        <w:t>[Pages 10–12]</w:t>
      </w:r>
    </w:p>
    <w:p>
      <w:r>
        <w:t>venta y los intercambios de información no pueden ser considerados como una infracción única y continuada, ya que no cumplen con los criterios establecidos por la jurisprudencia. En particular, sostiene que:</w:t>
      </w:r>
    </w:p>
    <w:p>
      <w:r>
        <w:t>1) La fijación de CGV y el intercambio de información tienen un objeto y motivación distintos.</w:t>
        <w:br/>
        <w:t>2) No existe una realización de acciones en unas coordenadas espacio-temporales próximas. Así, transcurren 8 meses desde la reunión del 22 de noviembre de 2004 hasta que se vuelve a tratar el tema de la recomendación de CGV y unos meses más hasta que se publicaron en 2006. En cuanto a los intercambios de información, pasan dos años hasta que se lleva a cabo el primero.</w:t>
        <w:br/>
        <w:t>3) No existe unidad de sujeto dado que en cada uno de los intercambios de información participaron distintas empresas y en cuanto a la recomendación de CGV fue un acto singularmente propuesto y ejecutado exclusivamente por la AEFBF.</w:t>
        <w:br/>
        <w:t>4) No cabe considerar que exista una homogeneidad en el modus operandi dado que en cada uno de los casos se utilizaron métodos distintos.</w:t>
      </w:r>
    </w:p>
    <w:p>
      <w:r>
        <w:t>Como señala la sentencia de 27 de junio de 2012 del Tribunal General de la Unión Europea (Coats Holdings ltd/Comisión), asunto T-439/07, (párrafo 142): "Es preciso señalar que una infracción del artículo 81 CE puede resultar no sólo de un acto aislado, sino también de una serie de actos o incluso de un comportamiento continuado. Esta interpretación no queda desvirtuada por el hecho de que uno o varios elementos de dicha serie de actos o del comportamiento continuado también puedan constituir por sí mismos y aisladamente considerados una infracción de la citada disposición. Cuando las diferentes acciones se inscriben en un «plan conjunto» debido a su objeto idéntico y falsean el juego de la competencia en el interior del mercado común, la Comisión puede imputar la responsabilidad por dichas acciones en función de la participación en la infracción considerada en su conjunto (sentencias del Tribunal de Justicia de 7 de enero de 2004, Aalborg Portland y otros/Comisión, C-204/00 P, C-205/00 P, C-211/00 P, C-213/00 P, C-217/00 P y C-219/00 P, Rec. p. I-123, apartado 258)."</w:t>
      </w:r>
    </w:p>
    <w:p>
      <w:r>
        <w:t>"(Párrafo 144): También es importante precisar que el concepto de objetivo único no puede determinarse mediante una referencia general a la distorsión de la competencia en el mercado afectado por la infracción, puesto que el perjuicio para la competencia constituye, como objeto o efecto, un elemento consustancial a todo comportamiento incluido en el ámbito de aplicación del artículo 81 CE, apartado 1. Tal definición del concepto de objetivo único entrañaría el riesgo de privar al concepto de infracción única y continuada de una parte de su sentido, en la medida en que tendría como consecuencia que varios comportamientos contrarios al artículo 81 CE, apartado 1, relativos a un sector económico, deberían calificarse sistemáticamente como elementos constitutivos de una infracción única. Así, con objeto de calificar diversos comportamientos como infracción única y continuada, procede verificar si presentan un vínculo de complementariedad, en el sentido de que cada una de ellas está destinada a hacer frente a una o varias consecuencias del juego normal de la competencia, y contribuyen, mediante una interacción, a la realización del conjunto de los efectos contrarios a la competencia buscados por sus autores, en el marco de un plan global encaminado a un objetivo único. A este respecto, habrá que tener en cuenta cualquier circunstancia que pueda demostrar o desmentir dicho vínculo, como el período de aplicación, el contenido (incluyendo los métodos empleados) y, correlativamente, el objetivo de los diversos comportamientos de que se trata (véase, en este sentido, la sentencia BASF y UCB/Comisión citada en el apartado 143 supra, apartados 179 a 181)."</w:t>
      </w:r>
    </w:p>
    <w:p>
      <w:r>
        <w:t>Por lo tanto, conforme a la jurisprudencia comunitaria, sentencia de 27 de junio de 2012 del Tribunal General de la Unión Europea (Coats Holdings ltd/Comisión), asunto T-439/07, para calificar diversos comportamientos como infracción única y continuada es necesario examinar si los diversos comportamientos presentan un vínculo de complementariedad, es decir, que "contribuyen, mediante una interacción, a la realización del conjunto de los efectos contrarios a la competencia buscados por sus autores, en el marco de un plan global encaminado a un objetivo único". Para ello será necesario examinar el período de aplicación, el contenido (incluyendo los métodos empleados) y, correlativamente, el objetivo de los diversos comportamientos de que se trata. En este caso:</w:t>
      </w:r>
    </w:p>
    <w:p>
      <w:r>
        <w:t>1) The setting of General Conditions of Sale (CGV) and the exchange of information follow the same common plan to limit the negotiating power of clients in a concerted manner to try to impose commercial conditions on them. As noted by the CNC, since the 2004 meeting, a competition-restrictive objective was outlined, which the companies, with the collaboration of the AEFBF, pursued by coordinating their wills. The accused companies communicated and met regularly to discuss issues and adopt agreements that served the common plan to unify commercial conditions and strengthen their position vis-à-vis their clients in a concerted manner. This purpose is reiterated over the years and permeates different matters that are addressed over time within the Association.</w:t>
      </w:r>
    </w:p>
    <w:p>
      <w:r>
        <w:t>2) While the period between two manifestations of an infringing behavior is a relevant criterion to establish the continued nature of an infringement, it does not exclude that in certain cases this may not be a determining criterion. In this sense, the judgment of the TGUE of June 27, 2012, previously cited, establishes (149). ...In the context of an infringement that extends over several years, the fact that the manifestations of the agreement occur at different times, which may be separated by more or less long intervals, does not affect the existence of said agreement if the different actions that constitute the infringement pursue a single aim and fall within the framework of a unique and continued infringement (judgment of the Court of Justice of September 21, 2006, Technische Unie/Commission, C-113/04 P, Rec. p. I-8831, paragraph 169).</w:t>
      </w:r>
    </w:p>
    <w:p>
      <w:r>
        <w:t>3) There is unity of subjects since it is considered in relation to the recommendation of general conditions of sale that the anticompetitive behavior was carried out both by the association and by the individuals that comprise it, and regarding the exchanges of information, all companies participated, considering that it is sufficient to have received the corresponding information without having opposed its receipt. As noted in the judgment of the General Court of the European Union (Sixth Chamber, extended). Judgment of June 16, 2011. In the case T-240/07, Heineken Nederland/Commission "(195) It should be recalled in this regard that according to established case law, when a company has attended, even without playing an active role, a meeting during which an illicit concertation has been evoked, it is considered to have participated in that concertation, unless it proves that it clearly distanced itself from it or that it informed the other participants that it intended to attend the meeting in question with a perspective different from its own (see the judgment of the Court of March 15, 2000, Cimenteries CBR and others/Commission, T-25/95, T-26/95, T-30/95 to T-32/95, T-34/95 to T-39/95, T-42/95 to T-46/95, T-48/95, T-50/95 to T-65/95, T-68/95 to T-71/95, T-87/95, T-88/95, T-103/95 and T-104/95, Rec. p. II-491, paragraph 3199 and cited case law)."</w:t>
      </w:r>
    </w:p>
    <w:p>
      <w:r>
        <w:t>4) Regarding the methods employed, they are indeed different (setting commercial conditions through the preparation and dissemination of recommendations, exchanges of information on rates, statistics, and after-sales service), but the fact that all have the same purpose allows qualifying all those behaviors as a unique infringement, despite constituting by themselves and considered in isolation an infringement of Article 1 of the LDC.</w:t>
      </w:r>
    </w:p>
    <w:p>
      <w:r>
        <w:t>NINTH: The appellant considers that the recommendation of general conditions of sale and the exchanges of information cannot be considered as a unique and continued infringement, as they do not meet the criteria established by the case law. In particular, it argues that:</w:t>
      </w:r>
    </w:p>
    <w:p>
      <w:r>
        <w:rPr>
          <w:b/>
        </w:rPr>
        <w:t>[Pages 13–15]</w:t>
      </w:r>
    </w:p>
    <w:p>
      <w:r>
        <w:t>restrictive object of competition in the recommendation of General Conditions of Sale (CGV) and the appellant argues that this recommendation cannot be considered as an agreement contrary to the CNC due to the absence of a restrictive object of competition. The appellant points out that articles 1.1 LDC and 101.1 TFEU cannot be considered infringed by a conduct whose object cannot be deemed anticompetitive since the purpose of the conduct was not to reach an agreement to harmonize the commercial conditions of its members but to improve the competitive conditions of the market by enhancing the conditions of legality. The main objective of the recommendation of the CGV was to eliminate abusive payment terms imposed by clients on the members (of up to 200 days) through the application of Law 3/2004, which prohibits the establishment of abusive payment terms. Therefore, it cannot be considered that the recommendation made by the AEFBF in the CGV recommendation to not accept payment terms exceeding 90 days can be understood as contrary to competition since this is precisely what Law 3/2004 establishes in its Article 9.</w:t>
      </w:r>
    </w:p>
    <w:p>
      <w:r>
        <w:t>This Chamber does not share the view that the main objective of the CGV recommendation was to eliminate abusive payment terms since the general conditions of sale had a much broader scope. They are outlined in proven fact 41 and included, in addition to payment terms (which shall not exceed 90 days from the invoice date), the following conditions: the conditions for formalizing the order, the content of the agreed prices (which do not include the transportation of the product, special packaging, or insurance, which are always at the buyer's expense) or the conditions for the delivery of the product (after loading at the seller's warehouse, the buyer assumes all responsibility for the product, not accepting in any case the condition (the delivery time is essential, determination of the penalty in case of delay in delivery by the seller: a grace period of 15 days and shall not exceed 0.5% weekly up to a maximum of 50%); the determination of concepts to be billed independently: the cost of storage in case of delay in receiving the product that accrues from the 7th day after availability has been communicated to the buyer and (the commissioning of the equipment); payment method and the amount of penalty clauses; and the conditions of the warranty, in particular, its scope (the seller's liability shall not exceed the amount of the product that gave rise to the claim), shall not include unskilled labor necessary for the assembly and disassembly of the pumps on site, duration (12 months after commissioning or 18 months from delivery) and deadlines for claims (30 days from receipt of the product in case of defects) as well as the amount of guarantees during its validity.</w:t>
      </w:r>
    </w:p>
    <w:p>
      <w:r>
        <w:t>Regarding payment terms, the appellant states that it aimed to eliminate abusive payment terms through the application of Law 3/2004, which establishes measures to combat late payments in commercial transactions. Law 3/2004 at the time of the events established in Article 4 regarding "Determination of the payment term" 1. "The payment term that the debtor must comply with shall be that which has been agreed between the parties within the applicable legal framework and, failing that, the one established in accordance with the provisions of the following section. 2. The payment term, in the absence of an agreement between the parties, shall be as follows: a) Thirty days after the date on which the debtor has received the invoice or an equivalent payment request." Therefore, the first criterion established was the freedom of agreement and, subsidiarily, a term was set. The CGV contains an express reference to Law 3/2004 but not regarding payment terms but in case of non-compliance with the established term. Thus, it is stated in section 4 regarding payments that "In the event that payment is not made in the manner and on the date agreed, the provisions of Law 3/2004, of December 29, which establishes measures to combat late payments in commercial transactions, shall apply." Therefore, regarding payment terms, it did not comply with what is established in Law 3/2004, which established freedom of agreements.</w:t>
      </w:r>
    </w:p>
    <w:p>
      <w:r>
        <w:t>Certainly, those recommendations were public (they were included in contracts or in some cases advertised on the manufacturer's website), but what was not public is that the adherence of the associated companies was not voluntary. The general conditions of sale are lawful and therefore the companies could individually adopt them. What the CNC reproaches is that these general conditions of sale were not established unilaterally by one company but collectively by a group of companies integrated into an association with the aim of limiting the negotiating power of clients in a concerted manner to try to impose homogeneous commercial conditions.</w:t>
      </w:r>
    </w:p>
    <w:p>
      <w:r>
        <w:t>TENTH: Alternatively, if it is considered that the recommendation has a restrictive object of competition, the appellant argues that such recommendation would be covered by the legal exemption provided in Article 1.3 LDC as the conditions established therein are met: 1) it contributes to improving the production and marketing of goods and services of the affected companies, also promoting technical and economic progress since the aim was to reduce the level of late payments in commercial transactions and a reduction of the exorbitant transaction costs that come with excessive payment terms, which leads to an improvement in the competitiveness of companies in the market. 2) regarding the requirement to equitably share the advantages with consumers and users, a reduction in late payments would have a direct effect on the financial situation of companies. In this way, if companies improve their financial situation and therefore their financial costs, there would be an improvement in prices and the quality of products. 3) regarding the requirement that no restrictions should be imposed that are not indispensable for achieving the facts, the very nature of the non-binding recommendation indicates that it contains no restrictions nor establishes any mechanism for control and monitoring and sanction for non-compliance. 4) Regarding the requirement that competition must not be eliminated concerning a substantial part of the market, it must be understood as fulfilled given the very limited adherence demonstrated by the associates to the recommendation.</w:t>
      </w:r>
    </w:p>
    <w:p>
      <w:r>
        <w:t>Article 1.3 LDC 2007 establishes that "The prohibition in paragraph 1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 a) They allow consumers or users to participate equitably in their advantages. b) They do not impose on the interested companies restrictions that are not indispensable for achieving those objectives, and c) They do not allow participating companies the possibility of eliminating competition concerning a substantial part of the products or services covered."</w:t>
      </w:r>
    </w:p>
    <w:p>
      <w:r>
        <w:t>All requirements must be met simultaneously and in this case, without the need to analyze the rest of the requirements, the one provided in paragraph b) is not met since the recommendation in this case is binding. The appellant refers to the non-binding nature of the recommendation, which this Chamber does not share in light of the proven facts in which it is stated that after the review by their advisors, the clause of closure was introduced in the general conditions of sale: "The inclusion of the previous clauses by the associates in the Sales Conditions governing the commercial relationships with their clients, which is recommended by the Spanish Association of Manufacturers of Pumps for Fluids, is completely free and optional, so that each associate will consider, in each case, the opportunity for its inclusion. Likewise, this inclusion may integrate all the clauses or only those that they consider appropriate and necessary." This was removed at the request of some of the companies and with the agreement of all because it distorted the nature and effectiveness of the intended objective, which was to set sales conditions. As a consequence of this, the text of the recommendations circulated on March 15, 2006 eliminated the final section referring to the dispositive and non-binding nature of the recommendations (proven facts 37 and 41).</w:t>
      </w:r>
    </w:p>
    <w:p>
      <w:r>
        <w:t>Precisely the voluntary nature of a recommendation has been the criterion considered by the Competition Defense Tribunal in a case where it granted a singular authorization for the realization of a standard supply contract to an association in which it was also alleged that the purpose of those conditions was the same as claimed by the appellants in the administrative process and in this contentious-administrative appeal. Thus, in the resolution of the Plenary of the Competition Defense Tribunal of June 6, 2007, initiated as a result of the request for singular authorization from the National Spanish Association of Manufacturers of Ready-Mixed Concrete (ANEFHOP) for the realization of a standard supply contract for ready-mixed concrete, it was pointed out that this association stated that the purpose of recommending the unification of supply conditions to its members is their defense against the economic power of the demand of the sector (much more concentrated than the atomized supply), which leads builders and large contractors to impose abusive clauses on manufacturers, especially regarding payment conditions. The CNC stated, "The establishment of a standard contract by professional associations is nothing more than a collective recommendation and, as such, falls within the scope of application of Article 1 LDC. Therefore, the Tribunal considers that it should be exceptional to grant a singular authorization that implies the existence of a standard contract, due to the dangers it entails for competition, so that only a case-by-case analysis can lead to its granting. However, in the present case, there are a series of particular factors and circumstances for which the aforementioned standard contract may be authorizable. First, it is a standard contract that is only recommended and to which adherence is voluntary, so that the freedom of the parties to adhere to it or negotiate other types of conditions is preserved at all times while not imposing unnecessary conditions. Second, the clauses contained in the recommended standard contract are not capable of eliminating competition in a substantial part of the market, given the special circumstances of the activity. Third, to the extent that the aforementioned recommended standard contract contributes to eliminating transaction costs between the parties, it may result in greater efficiency and fairness in commercial relationships and benefit consumers." In this case, the factual assumption is different given the binding nature of the recommendation and its scope was not limited to payment conditions.</w:t>
      </w:r>
    </w:p>
    <w:p>
      <w:r>
        <w:t>Finally, it should be noted that the general conditions of sale were sent by email to all associates on January 25, 2006, therefore the Law 15/2007 had not yet been approved. During the validity of Law 16/89, neither the association nor any of its members raised the possibility of requesting a singular authorization from the CNC, considering on the other hand that one of the associates, WILO, on February 10, 2006, communicated its withdrawal from the association referring to the fact that its legal services understood that this document could violate the current regulations on restrictive practices of competition. It is once the sanctioning procedure is initiated that the parties raise the possibility of the existence of a</w:t>
      </w:r>
    </w:p>
    <w:p>
      <w:r>
        <w:rPr>
          <w:b/>
        </w:rPr>
        <w:t>[Pages 16–18]</w:t>
      </w:r>
    </w:p>
    <w:p>
      <w:r>
        <w:t>market with many different products. However, it is possible that, to circumvent the difficulties of reaching a collusive outcome for a large number of prices, companies may exchange information to establish simple pricing rules (for example, price thresholds). In this case, the exchange of information occurs in such terms that, taking into account the characteristics of the market (lack of heterogeneity of the manufactured product), it may allow understanding the commercial strategy of other competitors, reducing the uncertainty linked to the competitive process. Therefore, the figures for price increases referred to the generalized increase in prices of each company without specifying the increase that was to be applied to each type of pump manufactured.</w:t>
      </w:r>
    </w:p>
    <w:p>
      <w:r>
        <w:t>ELEVENTH: Regarding the exchanges of information, the Council considers that they are part of the same infringement as the setting of general conditions of sale since they obey the common plan to harmonize commercial strategies to improve, in a concerted manner, the negotiating position against clients. These exchanges of information refer to exchanges of information about price increases, annual billing (production statistics), and the prices of after-sales services.</w:t>
      </w:r>
    </w:p>
    <w:p>
      <w:r>
        <w:t>In relation to these exchanges of information, it states:</w:t>
        <w:br/>
        <w:t>1) There is no evidence in the entire file that in November 2004 KSB agreed to exchange confidential information among competitors. A mere comment from a third businessman about the desire for an association to be an "information forum" cannot be used as the sole proof of the existence of such an alleged agreement.</w:t>
        <w:br/>
        <w:t>2) There is no evidence that KSB Itur provided or received confidential information about its competitors until late 2008 when certain absolutely vague information about market modification trends was informally shared among some companies.</w:t>
        <w:br/>
        <w:t>3) The exchanged information is not suitable for reducing market uncertainty considering the characteristics of the market and the exchanged information: 1) it is aggregated. 2) it is not commercially sensitive. 3) it consists of historical data. This legal basis will examine the arguments provided to support these assertions.</w:t>
      </w:r>
    </w:p>
    <w:p>
      <w:r>
        <w:t>1) The first two allegations refer to the lack of evidence of the existence of the infringing conduct. As noted by the judgment of the General Court of the European Union of March 3, 2011, Case Siemens/Commission, case T-110/07, regarding the burden of proof:</w:t>
        <w:br/>
        <w:t>"(.46)... it is necessary for the Commission to present precise and consistent evidence to demonstrate the existence of the infringement (judgment Dresdner Bank and others/Commission), paragraph 44 above, paragraph 62), and to establish a firm conviction that the alleged infringements constitute significant restrictions of competition for the purposes of Article 81 EC, paragraph 1 (judgment of January 21, 1999, Riviera Auto Service and others/Commission, T-185/96, T-189/96 and T-190/96, Rec. p. II-93, paragraph 47).</w:t>
        <w:br/>
        <w:t>(47) However, it should be noted that not all the evidence provided by the Commission must necessarily meet these criteria regarding each element of the infringement. It is sufficient that the series of indications invoked by the institution, assessed globally, meets this requirement (see the judgment Dresdner Bank and others/Commission, paragraph 44 above, paragraph 63, and the cited case law).</w:t>
        <w:br/>
        <w:t>(48) Furthermore, given the notorious nature of the prohibition of agreements contrary to free competition and the clandestinity in which they are executed, the Commission cannot be required to provide documents that explicitly justify a contact between the affected operators. In any case, the fragmentary and confusing elements that the Commission may have should be able to be completed through deductions that allow the reconstruction of the relevant circumstances. Therefore, the existence of a practice or agreement contrary to competition can be inferred from certain coincidences and indications that, considered as a whole, may constitute, in the absence of another coherent explanation, proof of an infringement of competition rules (judgment Dresdner Bank and others/Commission, paragraph 44 above, paragraphs 64 and 65, and judgment of the Court of Justice of January 7, 2004 [CJEU 2004, 8], Aalborg Portland and others/Commission, C-204/00 P, C-205/00 P, C-211/00 P, C-213/00 P, C-217/00 P and C-219/00 P, Rec. p. I-123, paragraphs 55 to 57)."</w:t>
      </w:r>
    </w:p>
    <w:p>
      <w:r>
        <w:t>Indeed, as the appellant points out, the mere statement of intentions agreed upon in the meeting of November 22, 2004, regarding converting the AEFBF into a "true forum for information exchange about the sector" cannot be used as the sole proof of the existence of an information exchange that limited competition since those future exchanges could be limited to discussions on issues that do not weaken the degree of uncertainty about the functioning of the market (However, it should be noted that the statement of intentions also mentions converting the association into "a group with lobbying power, creating common sales policies"). However, while it is agreed with the appellant that this evidence is insufficient, it should be noted that this is not the only evidence referenced by the CNC to consider that the infringing conduct has occurred, which consists of a single infringement integrated by several behaviors (not only the exchange of information but also the coordination of commercial conditions) with a common objective of limiting the negotiating power of clients in a concerted manner to try to impose commercial conditions on them. The fact that this meeting does not constitute in itself evidence that sufficiently substantiates the finding of the infringement does not prevent it from being considered as the starting date of the infringement taken as a whole, considering that this statement of intentions materialized in other periodic meetings held within the framework of the AEFBF that substantiate the existence of the infringement. Thus, the holding of 46 meetings within the AEFBF from November 22, 2004, to April 13, 2010, maintained by the main manufacturers and distributors of pumps is evidenced. The Directorate of Investigation provides a detailed description of them in section 4.4 of the Specification of Facts and includes meetings of the Board of Directors, the Assembly, the manufacturers' working group, and coordinators. In the Board of Directors and Assembly, topics such as the admission of associates, general conditions of sale, statistics, and the market situation and CEPREVEN qualification for ECIs were recurrently discussed.</w:t>
      </w:r>
    </w:p>
    <w:p>
      <w:r>
        <w:t>2) It states that there is no evidence that KSB Itur provided or received confidential information about its competitors until late 2008 when certain absolutely vague information about market modification trends was informally shared among some companies. Regarding the periods covered by the exchange of tariffs, the following is recorded in the contested resolution:</w:t>
        <w:br/>
        <w:t>On March 15, 2006, coinciding with the holding of an Extraordinary General Assembly of the AEFBF, 11 companies present at the meeting GRUNDFOS, CAPRARI, ESPA, ITT, ABS, ITUR, IDEAL, WILO, SULZER, ZEDA, and MARELLI exchanged confidential information regarding the national billing figures obtained during 2005, the price increases made and to be made in 2006, indicating the dates of their entry into force. (HP 42).</w:t>
      </w:r>
    </w:p>
    <w:p>
      <w:r>
        <w:t>In December 2006, the General Director of the AEFBF circulated by mail the price increases planned for 2007 by ITUR, GRUNDFOS, IDEAL, ZEDA, ESPA, DAB, and ABS.</w:t>
        <w:br/>
        <w:t>In the meeting of coordinators held in October 2008, GRUNDFOS, AIGUAPRES, CAPRARI, SULZER, ITT, ABS, IDEAL, KRIPSOL, MARELLI, EBARA, and ESPA exchanged confidential information regarding the price increases planned for 2009 and the date of their entry into force. (HP 68).</w:t>
        <w:br/>
        <w:t>At the Extraordinary General Assembly of the AEFBF on February 3, 2009, ESPA, CAPRARI, HIDROTECAR, SULZER, FLOWSERVE, EBARA, STERLING, ABS, ITUR, ITT, IDEAL, and MARELLI exchanged information regarding the results obtained during 2008, the billing forecasts, and the amount of the price increase for 2009, as well as the billing figures achieved during 2008. (HP 72).</w:t>
        <w:br/>
        <w:t>Therefore, ITUR was present at all these meetings except for the one in October 2008, so it cannot be claimed that it was unaware of their content, and on the other hand, there is no record that it opposed the aforementioned exchanges. The judgment of the General Court of the European Union (Eighth Chamber). Judgment of June 16, 2011, in the joined cases -204/08 and T-212/08, Team Relocations NV specifies what requirements must be met to prove a company's participation in a single and continuous infringement: 36)......three requirements must be met to prove participation in a single and continuous infringement, namely the existence of a global plan pursuing a common objective, the intentional contribution of the company to that plan, and the fact that it had knowledge (demonstrated or presumed) of the infringing behaviors of the other participants."</w:t>
      </w:r>
    </w:p>
    <w:p>
      <w:r>
        <w:t>3) The appellant alleges that in this case the exchanges of information are not anticompetitive, as the exchanged information is not suitable for reducing uncertainty in the market if we consider the specific characteristics of the fluid pump market and the characteristics of the exchanged information. It indicates that the exchange of information would have occurred in a significantly atomized market, internationally open and highly competitive, characterized by a high level of heterogeneity regarding the companies and the types of products manufactured (in the case of KSB Itur, 95% are non-standardized custom products) and a high bargaining power in demand. The existence of a significant segment of the market characterized by case-by-case designed products whose price is not referenced based on pre-tariffs but is set on a case-by-case basis. It is common to grant significant discounts (of up to 40-50%).</w:t>
        <w:br/>
        <w:t>As the appellant points out, the exchanges of information are not anticompetitive per se. They are only considered contrary to competition "to the extent that they weaken or eliminate the degree of uncertainty about the functioning of the market in question." (CJEU judgment May 28, 1998, case John Dere against Commission C-7/95, paragraph 90).</w:t>
        <w:br/>
        <w:t>In this case, the resolution of the CNC highlights that the setting of commercial conditions is more feasible than the setting of prices given the characteristics of the market (atomized, lack of product uniformity, and application of significant discounts not reflected in published tariffs, which it describes in paragraph 29 of the factual background). As noted in paragraph 80 of the guidelines on horizontal cooperation agreements from 2001, "it is easier to establish a collusive outcome for the price of a single homogeneous product than for many prices in a</w:t>
      </w:r>
    </w:p>
    <w:p>
      <w:r>
        <w:rPr>
          <w:b/>
        </w:rPr>
        <w:t>[Pages 19–21]</w:t>
      </w:r>
    </w:p>
    <w:p>
      <w:r>
        <w:t>market with many different products. However, it is possible that, to circumvent the difficulties of reaching a collusive outcome for a large number of prices, companies may exchange information to establish simple pricing rules (for example, price thresholds). In this case, the exchange of information occurs in such terms that, taking into account the characteristics of the market (lack of heterogeneity of the manufactured product), it may allow understanding the commercial strategy of other competitors, reducing the uncertainty linked to the competitive process. Therefore, the figures for price increases referred to the generalized increase in prices of each company without specifying the increase that was to be applied to each type of pump manufactured by each company, precisely.</w:t>
      </w:r>
    </w:p>
    <w:p>
      <w:r>
        <w:t>The appellant points out that the exchanged information is not suitable for reducing market uncertainty because it is aggregated. The first clarification to be made is what is understood by aggregated information. The appellant understands that aggregated information refers to the generalized increase in prices without specifying the increase that will be applied to each type of pump manufactured by each company. However, it must be taken into account that according to section 89 of the Guidelines on Horizontal Cooperation Agreements, aggregated data are those that hinder the recognition of the individualized information of each company and do not allow knowing and identifying the specific companies that provide the information and thus revealing their commercial strategy. This is not the case here, where the exchange of information refers to the specific price increases that each company was going to apply and which are recorded in a two-column list, one identifying the company and the other the price increase that has been applied or that it intends to apply generally to all its products. That information is commercially sensitive for the following reasons noted by the CNC: 1) with the same degree of aggregation, the price increase is announced to customers. 2) there are some examples in the file of communication of price increases between the subsidiary and the parent company in which it is observed that such data are also communicated in aggregated terms (folios 11039-11046) and when broken down by products, it is observed that the increase is the same in all cases. 3) although it is an aggregated variable, it still constitutes a signaling mechanism regarding how "aggressive" a company appears in its pricing policy towards customers. 4) it may allow designing more selective and profitable pricing policies: raising the list prices generally to customers and increasing discounts on those contracts that are more exposed to competition.</w:t>
      </w:r>
    </w:p>
    <w:p>
      <w:r>
        <w:t>It adds that the information is not commercially sensitive when the CNC itself does not question in the resolution that the information regarding the preset prices was easily accessible in the market through various means such as through customers, the websites of pump manufacturers directly, or through the price catalogs available at trade fairs. This criterion is not shared since although that information may be accessible in the market, the cost of access is much higher because it is not the same to know firsthand the strategy that competitors are going to follow than to have to carry out monitoring of their behavior through customers, or by obtaining the price catalog at trade fairs. On the other hand, it is not sufficient to have the catalog from one year; it is necessary to have those from previous and subsequent periods to be able to compare if there is a commercial strategy of price increase. As noted in section 92 of the Horizontal Cooperation Guidelines of 2001, "truly public information is that to which generally all competitors and customers have easy access (in terms of access costs). For information to be truly public, its acquisition must not be more costly for buyers and non-participating companies in the exchange system than for the companies that exchange information. Conversely, although the data exchanged between competitors are what is usually referred to as "public domain," they will not be truly public if the costs of obtaining the data deter other companies and consumers from obtaining them. The possibility of obtaining information in the market, for example, from customers, does not necessarily mean that this information consists of commercially accessible data for competitors." Additionally, it should be noted that some companies do not have a price catalog as they manufacture their product to order, taking into account the specific characteristics of the requested product, making it difficult to know what the strategy of that company is since it cannot compare the price of the same product in different years.</w:t>
      </w:r>
    </w:p>
    <w:p>
      <w:r>
        <w:t>The appellant points out that except in the case of exchanging projections of price increases for 2009, the parties never exchanged information that was not historical, noting that section 90 of the Guidelines states that "It is unlikely that the exchange of historical data will lead to a collusive outcome since it is unlikely that this data will be indicative of the future conduct of competitors or facilitate a common understanding in the market."</w:t>
      </w:r>
    </w:p>
    <w:p>
      <w:r>
        <w:t>Regarding the periods covered by the exchange of prices, we have already referred in the previous section to the participation of ITUR. It is not considered that the data provided regarding price increases refers to historical data since the exchange of information regarding the price increase of one year was provided at the end of the previous year (the increase of 2007 was exchanged in December 2006, the price increase of 2009 was exchanged in October 2008) or in the first quarter of the current year (the increase of 2006 was exchanged in March 2006). There is no documented exchange of information on price increases in either 2005 or 2008, as it is only referenced that there was an exchange of information regarding the results obtained (and it is noted in the resolution that this information was relevant for calculating the quotas, (proven fact 36). Therefore, in the years that it is considered proven that there was an exchange of information on price increases, it was not historical data.</w:t>
      </w:r>
    </w:p>
    <w:p>
      <w:r>
        <w:t>TWELFTH: It is necessary to examine the second sanctioned conduct, that is, the agreements related to fire-fighting equipment (ECIs) adopted by associated and non-associated companies of the Spanish Association of Fluid Pump Manufacturers (AEFBF) with the participation of this. The CNC considers that the Qualification Procedure and the Quality Model of the AEFBF (summarized in proven fact 103 and which we will refer to as PCMC) as formulated, contains certain clauses that restrict competition or that are not justified by the adoption of a quality standard and that refer to 1) the interpretation of standards that, if not resolved by the Issuing Body of the Standard, will be resolved by the technicians of the AEFBF 2) scope of supply (criteria are unified regarding the components that must integrate the equipment according to a template that is in the file, and it is agreed that the commissioning services must be billed and specified independently) and 3) there are non-explicit factors that jeopardize effective access under fair, reasonable, and non-discriminatory conditions arising from the following factors: the composition of the qualification committee, the fact that the technical criteria for evaluating the quality of a company are indeterminate, the procedure for adopting the standard has not been transparent, and a series of other factors that make it so that although the clauses are not binding, they become a de facto standard whose effects are very close to those of a binding norm. The CNC considers that these agreements are likely to generate restrictive effects on competition in the market for fire-fighting equipment, so, in these terms, they must be declared prohibited in accordance with Article 1 of the LDC and Article 101 of the TFEU. It considers that the duration of the conduct extends generally from May 2005 to February 2009, when the Quality Model was approved by the companies.</w:t>
      </w:r>
    </w:p>
    <w:p>
      <w:r>
        <w:t>The appellant argues that the PCMC is not contrary to competition regulations for the following reasons: 1) the preparatory acts of the PSCV do not constitute an agreement for the purposes of competition law, 2) if it is considered that there is an agreement, the PCMC does not violate competition regulations as it meets all the requirements of the European Commission's Horizontal Guidelines 3) If it is considered that it does not comply with the principles of the Horizontal Guidelines, the PCMC would benefit from the exemption of Articles 1.3 LDC and 101.3 TFEU.</w:t>
      </w:r>
    </w:p>
    <w:p>
      <w:r>
        <w:t>The appellant argues first that it is necessary for there to be an agreement for the purposes of competition law that a concordance of wills regarding the implementation of the PCMC is established, and in this case, it has not occurred, so there are only preparatory acts that do not constitute an infringement. As noted by the judgment of the General Court of the European Union (Extended Sixth Chamber). Judgment of June 16, 2011 in case T-240/07, Heineken Nederland/Commission "(45) The existence of an agreement in the sense of Article 81 EC can be appreciated when there is a concordance of wills on the very principle of restricting competition and even if the specific elements of the planned restriction are still being negotiated (see, in this sense, the judgment HFB and others/Commission, cited in the previous section 44, paragraphs 151 to 157 and 206)." Therefore, it is not necessary to consider the existence of an infringement that an agreement has been reached on the specific elements of the agreement and that it was agreed to implement it; it is sufficient that there are meetings in which the companies expressed their intention to reach an agreement contrary to competition. Thus, the contested resolution states that as the DI manifests, it has been proven in the file that, without prejudice to the possibility that they could pursue others, one objective of the companies in outlining this qualification system was to establish certain barriers to entry for certain actual or potential competitors. The statements of the companies throughout the management period of the project highlight this. It cannot be argued that this desire to restrict entry responds to security reasons because there is a regulation for which the competent bodies are responsible for its application. On the other hand, since the meeting in May 2005 in Valencia, the economic and price control reasons that this initiative entailed are evident. It is noted that at that meeting in Valencia in May 2005, which was attended by ITUR among others, they discussed issues related to the situation of the sector and commercial aspects related to costs, prices, and margins. They talked about "coordinating both economic and technical actions to, on the one hand, improve results and on the other (no less important) protect themselves from competition, which, attracted by the significant demand, did not meet the aforementioned requirements" (HP 76). In this context, the idea of promoting a qualification or certification procedure was pointed out, so that the offers reflected the scope of supply or to mutually disclose the rates of ECIs. The fact that the model was not implemented does not mean that there was no agreement since throughout this period the companies have coordinated and have been reaching agreements on the Model, some of which, such as those related to the Commissioning, involve setting commercial conditions. On the other hand, it must be borne in mind that the reason</w:t>
      </w:r>
    </w:p>
    <w:p>
      <w:r>
        <w:rPr>
          <w:b/>
        </w:rPr>
        <w:t>[Pages 22–24]</w:t>
      </w:r>
    </w:p>
    <w:p>
      <w:r>
        <w:t>the apparent reason that this initiative was not perfected lies in the fact that the DI conducted the inspections. However, when assessing the scope of the infringement, it is taken into account that the Qualification Procedure has not been implemented and it has not been proven that the companies have applied the agreements regarding the interpretation of rules, the scope of supply, and the commissioning. The appellant points out that if it were considered that there is an agreement, the PCMC does not infringe competition law in light of the Horizontal Guidelines for the following reasons:</w:t>
      </w:r>
    </w:p>
    <w:p>
      <w:r>
        <w:t>a) The process of creating the Quality Model has been open at all times to all manufacturing companies of ECIs in the market, as after being publicly presented at the SICUR fair, there were companies not associated with the AEFBF that, after showing their interest in the PCMC, participated in the drafting of the quality model. There is no evidence that the AEFBF prevented companies in the sector not belonging to the AEFBF from participating in the selection of the standard.</w:t>
      </w:r>
    </w:p>
    <w:p>
      <w:r>
        <w:t>b) Transparency of the standard adoption process. When work was already underway on the development of the possible quality model with CEPREVEN, a presentation of the project was made at the SICUR fair held on February 27, 2008, attended by all market operators regardless of their affiliation with the AEFBF.</w:t>
      </w:r>
    </w:p>
    <w:p>
      <w:r>
        <w:t>c) Voluntariness of the model.</w:t>
      </w:r>
    </w:p>
    <w:p>
      <w:r>
        <w:t>d) The access conditions are fair, reasonable, and non-discriminatory. It is undisputed that standardization agreements that do not contain any obligation to comply with the standard and provide access to it under fair, reasonable, and non-discriminatory conditions do not restrict competition. These are the relevant elements to determine whether standardization agreements restrict competition or not. Certainly, as the appellant points out, there is no evidence that the AEFBF prevented companies in the sector not belonging to the AEFBF from participating in the selection of the standard, and on the other hand, it is noted that this model was presented at a sector fair. Furthermore, the CNC itself acknowledges that the project does not contain clauses that explicitly exclude actual or potential competitors. However, what is questioned is whether the system effectively allows access under fair, reasonable, and non-discriminatory conditions, criteria that this Chamber shares for the following reasons:</w:t>
      </w:r>
    </w:p>
    <w:p>
      <w:r>
        <w:t>1) The effective composition of the qualification committee (which examines the applications and proposes to CEPREVEN the acceptance, modification, or denial of the qualification). It is provided that it will be considered constituted by at least 6 members and that its decisions will be adopted by a simple majority, so the representatives of the manufacturing sector could have a veto power in decision-making.</w:t>
      </w:r>
    </w:p>
    <w:p>
      <w:r>
        <w:t>2) The qualification procedure does not contemplate any type of explicit protocol that prevents or restricts manufacturers present in the Qualification Committee from accessing strategic information of those present or potential competitors who wish to access the qualification. The appellant claims that the qualification procedure is anonymous, but what the CNC reproaches is that those safeguards that the appellant claims are adopted in practice are not expressly included in the qualification procedure.</w:t>
      </w:r>
    </w:p>
    <w:p>
      <w:r>
        <w:t>3) The indeterminacy of the criteria for qualification. Thus, regarding the conditions that the applicant company must meet to obtain the qualification in the qualification procedure (proven fact 103), it is established that: it will have human and material resources "in conditions deemed satisfactory," it will have a "competent" after-sales service, it will have a "sufficient" stock, it will demonstrate "competence" in design, manufacturing, and assembly. The appellant claims that this is a draft, but this is contradicted by the proven facts which confirm that the Model was approved. As stated in the proven fact (101) of the contested resolution: "According to the email sent by the Marketing Director of ITUR to the other manufacturers and the General Director of the AEFBF sent on February 27, 2009, with the Subject CL16-Quality Model of the AEFBF (pages 666 and 667), finally, and with the acquiescence of ITT, KRIPSOL (5275), ESPA, IDEAL (5255), and ITUR, and the absence of observations from the rest of the manufacturers of ECIs, the Quality Model of the AEFBF for Manufacturers of Fire Fighting Equipment (ECIs) was definitively approved in February 2009." What occurred subsequently was a postponement of its implementation as a consequence of the initiation of this sanctioning file. This is recorded in proven fact 105. "At the Extraordinary General Assembly meeting on April 13, 2010, the General Director informed the other associates of the request on behalf of the manufacturers of ECIs associated with the qualifying body for the postponement of the implementation of the signed agreement (pages 5780 to 5782): "The General Director informs about the Burofax sent to CEPREVEN, in which he requests a postponement of the implementation of the Agreement signed between the Association and CEPREVEN regarding the Qualification of fire-fighting equipment, until a response on this matter is obtained from the National Competition Commission, as there is documentation regarding this matter in the sanctioning file opened against the Association. There has been no response from CEPREVEN on this matter."</w:t>
      </w:r>
    </w:p>
    <w:p>
      <w:r>
        <w:t>On the other hand, it highlights the existence of factors that determine that although the model is not binding, these clauses become a de facto standard, whose effects are very close to those of a binding norm, and these are the following:</w:t>
      </w:r>
    </w:p>
    <w:p>
      <w:r>
        <w:t>1) The agreement is promoted by the main manufacturers of fire-fighting equipment in Spain (277 of the Horizontal Guidelines). Although CEPREVEN claims that there are other certification/qualification bodies, it is unlikely that another voluntary standard alternative to the one the AEFBF intends to implement will emerge.</w:t>
      </w:r>
    </w:p>
    <w:p>
      <w:r>
        <w:t>2) CEPREVEN has a close relationship with the insurance sector. This may facilitate the implementation of the CEPREVEN quality label and make it a differentiating element that insurers request. This fact could relativize the voluntary nature of the qualification and make it an important competitive element.</w:t>
      </w:r>
    </w:p>
    <w:p>
      <w:r>
        <w:t>3) It is a qualification that is presented wrapped in arguments of safety. As the Horizontal Guidelines state, in cases where consumer safety is essential..." Since consumers find it difficult to clearly assess all these elements, they tend to prefer the most widespread practices, and the standard clauses related to these elements can become a de facto norm that companies must comply with to sell in the market."</w:t>
      </w:r>
    </w:p>
    <w:p>
      <w:r>
        <w:t>The appellant requests that if it is considered that the principles of the Horizontal Guidelines are not met, the PCMC would benefit from the exemption of articles 1.3 LDC and 101.3 TFEU for the following reasons:</w:t>
      </w:r>
    </w:p>
    <w:p>
      <w:r>
        <w:t>a) It has been proven that the PCMC contributes to improving the production and marketing of goods and services of the affected companies. The lack of administrative control regarding the application of unclear rules that ECIs sold in the market must comply with led to the uncontrolled entry and supply in the market of products that did not comply with the applicable regulations. If the object of the PCMC were fulfilled, the distribution and production conditions of ECIs would undoubtedly improve by providing clarity regarding the rules that must be complied with, thereby improving their level of safety.</w:t>
      </w:r>
    </w:p>
    <w:p>
      <w:r>
        <w:t>b) Regarding making consumers or users participants in the advantages equitably, considering the very nature of the products and their function concerning safety for people and economic goods, the private and public interest of the PSCV and the benefits, in terms of greater guarantees that it would provide if approved and implemented, cannot be denied.</w:t>
      </w:r>
    </w:p>
    <w:p>
      <w:r>
        <w:t>c) In relation to the requirement of not imposing restrictions that are not indispensable for achieving the facts, the PCMC is a voluntary certification system in the market, so no company is obliged to participate in it. On the other hand, the quality model and the rules of the certification procedure derive from the interpretation of the applicable rules to the sector and from models provided by CEPREVEN, respectively, and applied in many qualification models that have never been considered contrary to competition law.</w:t>
      </w:r>
    </w:p>
    <w:p>
      <w:r>
        <w:t>d) Finally, regarding not eliminating competition concerning a substantial part of the market, although there is no evidence of its effects in the market, it has not been demonstrated that since it is a certification system that interprets the applicable rules for ECIs and in which all companies that wish to participate can do so regardless of their affiliation with the AEFBF or not, it is not possible for the PCMC to eliminate competition in the market.</w:t>
      </w:r>
    </w:p>
    <w:p>
      <w:r>
        <w:t>It is not established that the Qualification Procedure and the Quality Model (PCMC) as agreed upon by the manufacturers of ECIs generate supposed benefits for the customer that counterbalance the risks arising for competition, and this is for the following reasons: 1) the implemented procedure is for the qualification of companies and not for the certification of products, so the qualification does not replace the true standards and mandatory rules that regulate the manufacture and marketing of ECIs. 2) the existence of factors that determine that although the model is not binding, these clauses become a de facto standard, whose effects are very close to those of a binding norm. 3) There is a risk that the homogenization of the product results in a reduction of horizontal and vertical differentiation of the product within the margin that the rules allow.</w:t>
      </w:r>
    </w:p>
    <w:p>
      <w:r>
        <w:t>THIRTEENTH: It considers that only the AEFBF should be held responsible for the alleged conduct since it is within the AEFBF that the initiatives regarding the exchange of information, market statistics, and recommendation of general terms of sale and the project of a voluntary qualification system for manufacturers have developed, limiting ITUR to participating in the meetings convened by the AEFBF in which the issues analyzed here have been discussed. It points out that the exclusive responsibility of the associations has been confirmed by the CNC in</w:t>
      </w:r>
    </w:p>
    <w:p>
      <w:r>
        <w:rPr>
          <w:b/>
        </w:rPr>
        <w:t>[Pages 25–27]</w:t>
      </w:r>
    </w:p>
    <w:p>
      <w:r>
        <w:t>would cause a grave daño a la viabilidad económica de la empresa. En este caso, el recurrente no ha presentado pruebas objetivas que demuestren que la imposición de la multa en las condiciones fijadas por la CNC causaría un daño grave a su viabilidad económica. Por lo tanto, no se puede considerar la reducción de la multa solicitada por el recurrente.</w:t>
      </w:r>
    </w:p>
    <w:p>
      <w:r>
        <w:t>DECIMOQUINTO: En conclusión, la CNC ha actuado conforme a derecho al imponer las sanciones a KSB ITUR y ha valorado adecuadamente las circunstancias del caso. La resolución impugnada debe ser confirmada en todos sus términos.</w:t>
      </w:r>
    </w:p>
    <w:p>
      <w:r>
        <w:rPr>
          <w:b/>
        </w:rPr>
        <w:t>[Pages 28–30]</w:t>
      </w:r>
    </w:p>
    <w:p>
      <w:r>
        <w:t>will irreparably endanger the economic viability of the company in question and lead to depriving its assets of all value." In Spanish law, unlike community law, there is no similar provision, but this does not prevent this Chamber from considering that the CNC is empowered to reduce a fine if there is objective evidence that the imposition of a fine would irreparably endanger the economic viability of the company in question and lead to depriving its assets of all value. In this sense, Article 64 LDC 2007, although it does not expressly establish the contributory incapacity of the company as a mitigating circumstance, does not contain a closed list of circumstances to be considered. Furthermore, the fourth section of the communication on the quantification of sanctions establishes in the fourth section the power of the CNC to apply other criteria for quantifying fines in a reasoned manner, so it is not prohibited for the CNC to make reductions in fines taking into account the particular circumstances of each case, in accordance with the principle of proportionality that must generally be applied in the imposition of fines.</w:t>
      </w:r>
    </w:p>
    <w:p>
      <w:r>
        <w:t>However, the reduction of fines due to the financial deficit situation of a company constitutes a power and not an obligation of the Commission. As noted by the judgment of the General Court of the European Union of December 13, 2012 (case Novacke chemicke/ European Commission, T-352/09) "(238) it should be recalled that the repeated case law cited in paragraph 186 above, according to which the Commission is not obliged to take into account the financial deficit situation of a company when determining the amount of the fine, does not mean that it cannot do so (judgment Carbone-Lorraine/Commission, [ECJ 2008, 222] cited in paragraph 58 above, paragraph 314). Indeed, the need to observe the principle of proportionality may oppose the imposition of a fine that goes beyond what constitutes an appropriate sanction for the declared infringement and that could endanger the very existence of the affected company. This is even more true given that the disappearance of a company from the contested market will necessarily have a harmful effect on competition."</w:t>
      </w:r>
    </w:p>
    <w:p>
      <w:r>
        <w:t>In these cases cited by the appellant, what the Commission has done is apply Article 35 of the Guidelines for the calculation of fines imposed under Article 23, paragraph 2, letter a), of Regulation (EC) No 1/2003 (35 which establishes that "In exceptional circumstances, the Commission may, upon request, take into account the contributory incapacity of a company in a particular economic and social context. The Commission will not grant any reduction of the fine for the mere finding of an unfavorable or deficit financial situation. The reduction may only be granted on the basis of objective evidence that the imposition of a fine, under the conditions set forth in these Guidelines, would irreparably endanger the economic viability of the company in question and lead to depriving its assets of all value."</w:t>
      </w:r>
    </w:p>
    <w:p>
      <w:r>
        <w:t>Paragraph 35 has been applied by the Commission in a very exceptional manner and after a careful review of the established conditions: analysis of financial statements from recent years, forecasts for the current and future fiscal years, coefficients measuring financial solidity, profitability, solvency, and liquidity. (European Commission Decisions of November 11, 2009, case COMP/38589, thermostabilizers, of July 20, 2010, case COMP/38866, phosphates for feed, of June 23, 2010, case COMP/39092, bathroom mixtures, and of June 30, 2010, case COMP/38344, prestressed steel). Its application, in addition to the request of the interested party, requires the concurrence of the following requirements: 1) existence of a particular economic and social context constituted by the consequences that the payment of the fine could have, in particular, regarding an increase in unemployment or a deterioration of the economic sectors to which the affected company sells; 2) the payment of the fine endangers the economic viability of the company. Therefore, it is necessary that there is a causal relationship between the payment of the fine and its impact on the viability of the company, that is, that the adverse effects will be caused by the payment of the fine and not by other factors; 3) it leads to the loss of asset value, the existence of a situation of bankruptcy or insolvency being insufficient if it does not translate into a loss of asset value. The burden of proof lies with the interested party.</w:t>
      </w:r>
    </w:p>
    <w:p>
      <w:r>
        <w:t>Regarding the scope of paragraph 35, the General Court of the European Union has ruled in its judgment of December 13, 2012 (case Novacke chemicke/ European Commission, T-352/09) stating "(189) It follows that the mere fact that the imposition of a fine for infringing competition rules may provoke the bankruptcy situation of the company in question is not sufficient for the application of paragraph 35 of the Guidelines (LCEur 2003, 1). Indeed, from the case law cited in paragraph 187 above, it follows that, while the bankruptcy of a company harms the financial interests of the affected owners or shareholders, this does not necessarily mean the disappearance of the company in question. It may continue to exist as such, either in the case of recapitalization of the company declared in bankruptcy as a legal entity that guarantees the operation of that company, or in the case of a global acquisition of its asset elements, and consequently, of the company as an entity that carries out an economic activity, by another entity. Such a global acquisition may occur either through a voluntary purchase or through a forced sale of the assets of the bankrupt company while maintaining the operation."</w:t>
      </w:r>
    </w:p>
    <w:p>
      <w:r>
        <w:t>In this case, it is not established that the fine exceeded 10 percent of the total turnover of the infringing company in the fiscal year immediately preceding the imposition of the fine, a percentage set in Article 63 by the legislator, precisely to ensure that the payment of fines does not imply the disappearance of the company. Furthermore, the interested party did not indicate during the processing of the file that the possible fine that could be imposed on them (they did not know its amount, but they did know what the maximum limit was) would affect their financial situation in such a way that it would prevent them from continuing their business activity. The fact that it is stated that the financial situation is delicate is not sufficient to consider that its viability is in danger, as it is not established that there is an impossibility of renegotiating the bank debt, receiving capital contributions from other companies or shareholders, or even transferring asset elements to a third party to continue the business activity, as established by the judgment of the General Court of the European Union on December 13, 2012 (case Novacke chemicke/ European Commission, T-352/09) that we have already reproduced in a previous paragraph. Thus, it is indeed indicated in the report that "the company, however, expects to be able to renegotiate the current debt and postpone it as much as possible, and it is in this context that it is negotiating with financial entities."</w:t>
      </w:r>
    </w:p>
    <w:p>
      <w:r>
        <w:t>FIFTEENTH: For the reasons stated, it is appropriate to dismiss the contentious-administrative appeal. There are no merits that determine a special ruling on costs, in accordance with the criteria contained in Article 139.1 of the Regulatory Law of Contentious Administrative Jurisdiction.</w:t>
      </w:r>
    </w:p>
    <w:p>
      <w:r>
        <w:t>WE DECIDE</w:t>
        <w:br/>
        <w:t>In view of the above, the Contentious Administrative Chamber of the National Court has decided:</w:t>
        <w:br/>
        <w:t>TO DISMISS</w:t>
        <w:br/>
        <w:t>the contentious-administrative appeal filed by the legal representation of KSB ITUR SPAIN against the resolution of the Council of the National Competition Commission (CNC) of June 24, 2011, file S/0185/09 Fluid Pumps, which is declared lawful in the examined aspects. No costs are imposed.</w:t>
        <w:br/>
        <w:t>Thus, by this our Judgment, a testimony of which will be sent along with the administrative file to the originating Office for execution, we pronounce, command, and sign.</w:t>
        <w:br/>
        <w:t>PUBLICATION.- The previous judgment was read and published in the usual manner by the Honorable Ms. Reporting Judge,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