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https://www.cnmc.es/expedientes/s019409</w:t>
      </w:r>
    </w:p>
    <w:p>
      <w:r>
        <w:t>Pages translated : 7</w:t>
      </w:r>
    </w:p>
    <w:p/>
    <w:p>
      <w:r>
        <w:rPr>
          <w:b/>
        </w:rPr>
        <w:t>[Pages 1–3]</w:t>
      </w:r>
    </w:p>
    <w:p>
      <w:r>
        <w:t xml:space="preserve">RESOLUTION (FILE S/0194/09, BANKING-INSURANCE)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February 16, 2010  </w:t>
        <w:br/>
        <w:t xml:space="preserve">The Council of the National Competition Commission (hereinafter, Council), with the composition stated above and with Mr. Miguel Cuerdo Mir as the rapporteur, has issued the following Resolution in File S/0194, Banking-Insurance, processed as a consequence of the complaint filed by the GALICIAN ASSOCIATION OF INSURANCE BROKERS AND BROKERAGES and the CATALAN ASSOCIATION OF INSURANCE BROKERS against various credit entities, for considering that certain bonus practices in credit operations were affecting the insurance market, thereby violating Law 15/2007, of July 3, on the Defense of Competition (hereinafter also LDC).  </w:t>
        <w:br/>
        <w:t xml:space="preserve">FACTUAL BACKGROUND  </w:t>
        <w:br/>
        <w:t xml:space="preserve">1. On July 14, 2009, Ms. Susana Boquete Rodríguez, on behalf of the GALICIAN ASSOCIATION OF INSURANCE BROKERS AND BROKERAGES and the CATALAN ASSOCIATION OF INSURANCE BROKERS, filed a complaint with the Investigation Directorate (hereinafter also DI), against the credit entities BILBAO BIZKAIA KUTXA; CAIXA DE AFORROS DE VIGO, OURENSE Y PONTEVEDRA (CAIXANOVA); CAJA DE AHORROS DEL CIRCULO CATÓLICO DE OBREROS DE BURGOS; CAJA DE AHORROS DE VALENCIA, CASTELLÓN Y ALICANTE (BANCAJA); CAIXA GALICIA; CAJA DE AHORROS DE LA INMACULADA; CAJA DE AHORROS DE LA RIOJA; CAJA DE AHORROS DE SALAMANCA Y SORIA (CAJA DUERO); CAJA DE AHORROS Y MONTE DE PIEDAD DE AVILA; CAJA SUR; CAJA DE AHORROS Y MONTE DE PIEDAD DE MADRID (CAJAMADRID); CAJA NAVARRA; CAJA DE AHORROS DE SEGOVIA; CAJA DE AHORROS Y MONTE DE PIEDAD DE ZARAGOZA, ARAGÓN Y RIOJA (IBERCAJA); CAJA ESPAÑA; CAJA CANARIAS; CAJA GRANADA; UNICAJA-CAJA DEL SOL; BANCA MARCH; BANCO CAIXA GERAL; BANCO ESPAÑOL DE CRÉDITO (BANESTO); BANCO GALLEGO; BANCO POPULAR; BANCO SANTANDER; BANKINTER S.A.; DEUTSCHE BANK, S.A.; CAIXA GIRONA; CAIXA LAIETANA; CAIXA SABADELL; CAIXA D'ESTALVIS DE TARRAGONA; CAIXA TERRASSA and CAIXA PENEDÉS for offering bonuses in loan contracts, especially mortgages, if the borrower contracts insurance with companies from the same group or through the intermediation of insurance brokers integrated into these credit entities.  </w:t>
        <w:br/>
        <w:t xml:space="preserve">2. On July 27, 2009, a response was sent to the letter from the GALICIAN ASSOCIATION OF INSURANCE BROKERS AND BROKERAGES and the CATALAN ASSOCIATION OF INSURANCE BROKERS, indicating that the analysis and assessment of the conduct of the main Spanish financial entities included in the Council's Resolution of the CNC, within the framework of file 2789 (Credit Entities), indicated that the existence of practices prohibited by article 1 of the LDC had not been established. Since those behaviors were transferable to the facts now reported, the DI inquired whether there were other behaviors of the financial entities that could be restrictive of competition.  </w:t>
        <w:br/>
        <w:t xml:space="preserve">3. On October 9, 2009, a letter was received at the CNC from the complainant, which practically reproduced the one received on July 14, 2009, stating that their complaint was not based - unlike the one previously filed by AUSBANC (File 2789/07) - on the subordination of a loan to an insurance policy, but on the granting of "very privileged conditions in exchange for the contracting of insurance with group entities or through the intermediation of insurance brokers integrated into the financial entities" (folio 13) and considered that this conduct violates articles 1.1.e) and 2.2.a) and e) of the LDC, as well as articles 2.e) and 2.j) of Community Directive 2005/29/EC on unfair commercial practices (folios 52-3).  </w:t>
        <w:br/>
        <w:t xml:space="preserve">4. On October 22, 2009 (folio 213v), accreditation of the representation that the complainant claimed to hold from the Catalan Association of Insurance Brokers was requested. On November 6, 2009, the requested documentation was received (folio 214).  </w:t>
        <w:br/>
        <w:t xml:space="preserve">5. Since the documents presented by the complainant as evidence of their complaint against some entities (CAIXA GALICIA, CAJA INMACULADA, CAJA RIOJA, CAJA SUR, CAJA CANARIAS, CAJA GRANADA, BANCO CAIXA GERAL, BANCO SANTANDER, BANKINTER, DEUTSCHE BANK and CAIXA GIRONA) did not refer to the reported facts, they were requested by letter on November 27, 2009, to provide the documents on which they based their complaint against them (folio 228vta.), without any response to the request being received. Nevertheless, the Investigation Directorate located some of the aforementioned documents through the websites of the reported entities, incorporating them into the present proceedings.  </w:t>
        <w:br/>
        <w:t xml:space="preserve">6. The GALICIAN ASSOCIATION OF INSURANCE BROKERS AND BROKERAGES is a non-profit business association, comprised of Insurance Brokers and Brokerages, and registered with the Directorate General of Labor Relations of the Consellería de Xustiza, Interior y Relacións Laborais of the Xunta de Galicia.  </w:t>
        <w:br/>
        <w:t xml:space="preserve">7. The CATALAN ASSOCIATION OF INSURANCE BROKERS is a non-profit business association, comprised of Insurance Brokers and Brokerages and registered in the Special Register of Associations of the Generalitat of Catalonia.  </w:t>
        <w:br/>
        <w:t xml:space="preserve">8. In any case, insurance brokers carry out the commercial activity of mediating private insurance, consisting of presenting, proposing, or performing preliminary work prior to the conclusion of an insurance or reinsurance contract, or the conclusion of these contracts, as well as assisting in the management and execution of said contracts, particularly in the event of a claim, without maintaining contractual ties that imply affiliation with insurance entities and offering independent, professional, and impartial advice to those seeking coverage for the risks to which their persons, assets, interests, or liabilities are exposed, according to Law 26/2006, of July 17, on the Mediation of Private Insurance (articles 2.1 and 26). According to the complainants (folio 19), there are 2000 insurance brokers (natural persons) and 4000 insurance brokerages (legal persons) in Spain.  </w:t>
        <w:br/>
        <w:t xml:space="preserve">9. In its meeting on February 10, 2010, the Council deliberated and ruled on this Resolution.  </w:t>
        <w:br/>
        <w:t xml:space="preserve">LEGAL GROUNDS  </w:t>
        <w:br/>
        <w:t>FIRST. The Council of the CNC must determine whether the proposal not to initiate sanctioning proceedings by the DI is lawful and, therefore, whether to archive the complaint filed by the GALICIAN ASSOCIATION OF INSURANCE BROKERS.</w:t>
      </w:r>
    </w:p>
    <w:p>
      <w:r>
        <w:rPr>
          <w:b/>
        </w:rPr>
        <w:t>[Pages 4–6]</w:t>
      </w:r>
    </w:p>
    <w:p>
      <w:r>
        <w:t>AND INSURANCE BROKERAGES and the CATALAN ASSOCIATION OF INSURANCE BROKERS. This complaint is based on the fact that these banks and savings banks are offering "bonuses" in loan contracts, especially mortgages, if the borrower takes out insurance with companies from the same group or through the mediation of insurance intermediaries integrated into these credit entities. According to the complainant, this conduct would constitute a violation of article 1.1.e) and 2.2.a) of the LDC. Furthermore, the complaint also states that it intends to report the individual actions of each entity and not a coordinated behavior of the banking sector (folio 13) as a whole and that the objective is "the granting of advantageous conditions in exchange for the client contracting the insurances where the financial entities say." Notwithstanding the above, the complaint maintains the existence of a violation of article 1.1.e LDC, due to the subordination of the conclusion of contracts to the acceptance of benefits that are not related to the object of such contracts. Additionally, a supposed violation of article 2.e LDC is noted, due to the imposition of inequitable commercial conditions.</w:t>
      </w:r>
    </w:p>
    <w:p>
      <w:r>
        <w:t>SECOND. The DI in its Proposal for Filing has indicated to this Council that the existence of bonuses in loans for contracting insurance with companies of the group "does not prove an agreement among the reported financial entities," because there is no indication and, rather, it has been verified that these bonuses are neither equal nor always linked to the same type of product.</w:t>
      </w:r>
    </w:p>
    <w:p>
      <w:r>
        <w:t>On the other hand, the DI also argues that a home/life insurance does not relate to a mortgage loan, in relation to the prohibition of certain practices reflected in article 1 LDC. It also recalls the generation of efficiencies and economies, derived from the linking of these products and emphasizes that non-subscription does not imply a refusal to grant the loan, but rather the loss of the bonus.</w:t>
      </w:r>
    </w:p>
    <w:p>
      <w:r>
        <w:t>Regarding article 2 LDC, the DI states that "none of the credit entities operating in the Spanish market holds a dominant position." However, in another case, the behaviors of imposing inequitable conditions are not substantiated here, since the "client may choose not to contract it or to do so with another insurer." The DI also does not observe competitive disloyalty in the conduct, according to the parameters of the European Commission and the doctrine and jurisprudence in this matter.</w:t>
      </w:r>
    </w:p>
    <w:p>
      <w:r>
        <w:t>THIRD. The Council takes into account the Resolution of the defunct TDC of March 11, 1994, Expte. R66/93, Sales in bank offices, in relation to the practice of many credit entities of favoring the marketing of certain financial products by benefiting the consumer with other products. More specifically, in the Foundations of the cited Resolution, it was noted that gifts of tableware, when loans are granted by banks and savings banks, far from restricting competition, promote certain credit products by obtaining a discount or a gift on other products. Furthermore, the Resolution understood that this helped to extend the trade of other products and resulted in a reduction of credit interests, which are returned to the credit consumer in the form of tableware or other objects – in the specific case of this resolution – according to perfectly acceptable commercial practices. It also recalled that not every business act that proves uncomfortable for other entrepreneurs or competitors can be indicative of a breach of the legal defense of competition.</w:t>
      </w:r>
    </w:p>
    <w:p>
      <w:r>
        <w:t>On the other hand, the Council must also consider in some depth the Resolution of the defunct TDC of November 21, 2001 (Expte R 467/01, CajaMadrid/Ausbanc), where the subordination of the granting of mortgage loans to the subscription of certain insurance policies with companies belonging to the banking business group was reported. In its Foundations, it is noted that the requirement of a practice of these characteristics "would only be prohibited by the LDC if such behavior were carried out from a dominant position."</w:t>
      </w:r>
    </w:p>
    <w:p>
      <w:r>
        <w:t>Although this Resolution was partially questioned by the AN, through Judgment of September 17, 2003, by stating that the reported practice could have the appearance of being a widespread practice by the banking sector and, in this sense, it was advisable to initiate a sanctioning file for possible collusion among credit entities and not to archive as had been done by the SDC and confirmed by the TDC in the aforementioned Resolution. As a consequence of the above, the cited file was initiated against a plurality of banking entities that offered insurance from the same group through the granting of loans.</w:t>
      </w:r>
    </w:p>
    <w:p>
      <w:r>
        <w:t>In view of the instructed, the Council of the CNC, through Resolution of May 29, 2009 (Expte. 2789, Credit Entities), among others, argued in its Foundations that the Judgment of the AN was explained by the possible generalized nature of the practice and not because the practice constitutes a breach of the law, since "in the case at hand, we are not facing a situation of a dominant position in the retail banking market – or in narrower segments such as the granting of mortgage or personal loans – that leads one to think that an operator can, through the linking of products, extend its dominance to an adjacent insurance market." The Resolution recalls the Commission's own doctrine in this regard, stating that these commercial practices can be the source of significant economies of scope and the generation of efficiencies in the management of credit and insurance risk.</w:t>
      </w:r>
    </w:p>
    <w:p>
      <w:r>
        <w:t>On the other hand, it was also not found that there was evidence or indications of a supposed collective agreement among banking entities, contrary to article 1.1 LDC to subordinate the granting of loans to the contracting of an insurance offered by an insurance company of the banking group.</w:t>
      </w:r>
    </w:p>
    <w:p>
      <w:r>
        <w:t>Finally, the Resolution deemed it appropriate to recall that this type of commercial practice of linking products is also protected by various laws. Thus, Law 26/2006, which allows "a credit entity to operate as an exclusive agent of a specific insurer" integrated into the same business group, does not prevent – as reflected in Circular 8/1990 of the Bank of Spain – "the possibility that the credit entity may link the granting of mortgage or personal loans to the conclusion of a specific insurance." Likewise, article 6 of Law 7/1995, of March 23, on Consumer Credit, states that the mutual agreement between the lender and mortgage borrower to designate the insurance company that will cover the contingencies required by the lending entity must be recorded, without establishing limits regarding the agreed conditions or regarding the insurance company that will assume it.</w:t>
      </w:r>
    </w:p>
    <w:p>
      <w:r>
        <w:t>Therefore, in light of all the aforementioned doctrine, the Council must conclude that, indeed, having not presented indications that the set of reported entities has an agreement to follow these commercial practices in a certain way, the complaint does not present them in relation to any of them having a dominant position in these markets. In any case, the Council considers that the complaint does not question, nor does it present indications to the contrary, that this type of joint sale of financial products generates economies that are passed on to the consumer, through different types of bonuses in the costs of the products and, independently, for each of the reported entities.</w:t>
      </w:r>
    </w:p>
    <w:p>
      <w:r>
        <w:t>In view of the cited legal provisions and those of general application, the Council of the CNC HAS RESOLVED</w:t>
      </w:r>
    </w:p>
    <w:p>
      <w:r>
        <w:t>Single. To archive the complaint filed by the GALICIAN ASSOCIATION OF INSURANCE BROKERS AND BROKERAGES and the CATALAN ASSOCIATION OF INSURANCE BROKERS against various credit entities, for alleged prohibited conduct in articles 1 and 2 of Law 15/2007, of July 3, on the Defense of Competition.</w:t>
      </w:r>
    </w:p>
    <w:p>
      <w:r>
        <w:t>Communicate this Resolution to the Directorate of Investigation, and notify the GALICIAN ASSOCIATION OF INSURANCE BROKERS AND BROKERAGES and the CATALAN ASSOCIATION OF INSURANCE BROKERS, as well as to the credit entities BILBAO BIZKAIA KUTXA; CAIXA DE AFORROS DE VIGO, OURENSE Y PONTEVEDRA (CAIXANOVA); CAJA DE AHORROS DEL CIRCULO CATÓLICO DE OBREROS DE BURGOS; CAJA DE AHORROS DE VALENCIA,</w:t>
      </w:r>
    </w:p>
    <w:p>
      <w:r>
        <w:rPr>
          <w:b/>
        </w:rPr>
        <w:t>[Pages 7–7]</w:t>
      </w:r>
    </w:p>
    <w:p>
      <w:r>
        <w:t xml:space="preserve">CASTELLÓN AND ALICANTE (BANCAJA); CAIXA GALICIA; SAVINGS BANK OF THE IMMACULATE; SAVINGS BANK OF LA RIOJA; SAVINGS BANK OF SALAMANCA AND SORIA (CAJA DUERO); SAVINGS BANK AND MONT DE PIETAT OF AVILA; CAJA SUR; SAVINGS BANK AND MONT DE PIETAT OF MADRID (CAJAMADRID); NAVARRA SAVINGS BANK; SAVINGS BANK OF SEGOVIA; SAVINGS BANK AND MONT DE PIETAT OF ZARAGOZA, ARAGÓN AND RIOJA (IBERCAJA); CAJA ESPAÑA; CAJA CANARIAS; CAJA GRANADA; UNICAJA-CAJA DEL SOL; BANCA MARCH; BANK CAIXA GERAL; SPANISH BANK OF CREDIT (BANESTO); GALICIAN BANK; POPULAR BANK; SANTANDER BANK; BANKINTER S.A.; DEUTSCHE BANK, S.A.; CAIXA GIRONA; CAIXA LAIETANA; CAIXA SABADELL; CAIXA D'ESTALVIS DE TARRAGONA; CAIXA TERRASSA and CAIXA PENEDÉS, informing them that there is no administrative appeal against it, and that a contentious-administrative appeal may be filed before the National Court within two months from its notification.  </w:t>
        <w:b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