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https://www.cnmc.es/expedientes/s019509</w:t>
      </w:r>
    </w:p>
    <w:p>
      <w:r>
        <w:t>Pages translated : 18</w:t>
      </w:r>
    </w:p>
    <w:p/>
    <w:p>
      <w:r>
        <w:rPr>
          <w:b/>
        </w:rPr>
        <w:t>[Pages 1–3]</w:t>
      </w:r>
    </w:p>
    <w:p>
      <w:r>
        <w:t xml:space="preserve">RESOLUTION  </w:t>
        <w:br/>
        <w:t xml:space="preserve">Expte. S/195/09 ENTECOM AND CASBEGA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June 27, 2011  </w:t>
        <w:br/>
        <w:t>The Council of the National Competition Commission (the Council), with the composition stated above and with Ms. Pilar Sánchez Núñez as the Rapporteur, has issued the following Resolution in the file S/195/09 ENTECOM AND CASBEGA, initiated by the Directorate of Investigation (DI) of the National Competition Commission (CNC) against COMPAÑÍA CASTELLANA DE BEBIDAS GASEOSAS S.A. (CASBEGA) and its subsidiary ENTECOM S.L. (ENTECOM).</w:t>
      </w:r>
    </w:p>
    <w:p>
      <w:r>
        <w:t xml:space="preserve">FACTUAL BACKGROUND  </w:t>
        <w:br/>
        <w:t xml:space="preserve">1. On September 29, 2009, in a ruling from the Social Court No. 34, the Judge ordered that the Service for the Defense of Competition be informed “in order to clarify any potential administrative responsibilities that may have been incurred by the co-defendants and that have been summarily highlighted in the Fourth Legal Ground” (folios 28 and 29), certain information known during the proceedings followed by the dismissal claim brought by an employee of COMPAÑÍA CASTELLANA DE BEBIDAS GASEOSAS S.A. (CASBEGA) against this company and its subsidiary, ENTECOM SL (ENTECOM). Included in the file is a report from the Uría Menéndez Law Firm from November 2006 provided by CASBEGA in the judicial proceedings, which states: “the competition defense authorities could legitimately consider that the existence of ENTECOM restricts competition among the bottlers, which is already residual, and reinforces cooperation among them” (folio 19).  </w:t>
        <w:br/>
        <w:t>2. After carrying out the corresponding actions, on February 4, 2010, a copy was received by the CNC from the Social Court No. 34 of Madrid of the aforementioned confidential report from the Uría Menéndez firm (folio 35). The parties were duly informed by the court that if evidence of practices against competition were shown, it would be referred to the competent administrative authority for clarification.</w:t>
      </w:r>
    </w:p>
    <w:p>
      <w:r>
        <w:t xml:space="preserve">3. The Directorate of Investigation has sent various requests for information to CASBEGA, to ENTECOM, to six Coca-Cola bottlers in Spain: COBEGA SA, COMPAÑÍA LEVANTINA DE BEBIDAS GASEOSAS S.A. (COLEBEGA), COMPAÑÍA NORTEÑA DE BEBIDAS GASEOSAS S.A. (NOREBEGA), COMPAÑÍA ASTURIANA DE BEBIDAS GASEOSAS S.A. (ASTURBEGA), BEBIDAS GASEOSAS DEL NOROESTE S.A (BEGANO), and REFRESCOS ENVASADOS DEL SUR S.A. (RENDELSUR), and also to the Portuguese bottler REFRIGE, regarding their relationship with ENTECOM, as well as whether they carried out commercial operations in Spanish territory. The responses received have allowed for the conclusions reached in this resolution to be substantiated.  </w:t>
        <w:br/>
        <w:t xml:space="preserve">4. Regarding the parties involved in the investigation, the Directorate of Investigation reports, in its proposal to the Council, the following descriptions:  </w:t>
        <w:br/>
        <w:t xml:space="preserve">ENTECOM SL (ENTECOM)  </w:t>
        <w:br/>
        <w:t xml:space="preserve">It is a commercial company incorporated on April 23, 1992, with CASBEGA as its sole partner until December 20, 2008, when 83% of the shares were transferred to the other six marketers of Coca-Cola products in Spain and the one located in Portugal (folio 99). The shareholders are COBEGA SA, 18.6%; CASBEGA SA, 17%; RENDELSUR, 16.6%; COLEBEGA, 13.6%; REFRIGE, 9.6%; CORBEGA, 8.8%; BEGANO, 8.4%; and ASTURBEGA, 7.4%. Currently, these shareholders of ENTECOM also participate in its Board of Directors, along with CASBEGA, without any of them having either the majority of the share capital or effective control of the company ENTECOM (folios 99 and 100).  </w:t>
        <w:br/>
        <w:t xml:space="preserve">The corporate purpose of the company is, according to Article 2 of its bylaws, “the performance of intermediation activities, including buying and selling, in the trade of products and raw materials necessary for the preparation and sale of soft drinks and other food products” (folio 997).  </w:t>
        <w:br/>
        <w:t xml:space="preserve">In January 2009, CASBEGA transferred to ENTECOM its “purchasing intermediation unit,” through the transfer of assets and resources (non-inventoried goods and personnel) from the affected unit.  </w:t>
        <w:br/>
        <w:t xml:space="preserve">According to CASBEGA itself: “The so-called intermediation unit ENTECOM was, until December 31, 2008, an internal department of CASBEGA, without its own legal personality, but with full functional autonomy with respect to CASBEGA, having the workers and material resources – furniture, computers, vehicles, etc. – necessary for the performance of its activities, and without participating in the management bodies of CASBEGA” (folio 99).  </w:t>
        <w:br/>
        <w:t xml:space="preserve">Until the aforementioned date, the company ENTECOM would have apparently been inactive for commercial purposes, although it is noted that it had signed various medium-term supply contracts with several qualified suppliers (folios 99, and 1,034 to 1,036). In fact, ENTECOM itself indicates that “CASBEGA was also the owner of 100% of the share capital of a commercial entity named ENTECOM SL (“ENTECOM”) which had remained inactive since its incorporation” (folio 99).  </w:t>
        <w:br/>
        <w:t xml:space="preserve">As of January 1, 2009, ENTECOM fully engages in negotiations with suppliers of raw materials and other inputs for Coca-Cola bottlers in Spain and Portugal, maintaining the tasks of representing the interests of the Iberian Peninsula bottlers as a member of the Operating Committee of the Cross Enterprise Procurement Group (CEPG). The CEPG is an entity of The Coca-Cola Company that negotiates and agrees on supply conditions for certain products worldwide, with specific global suppliers in materials necessary for product manufacturing. ENTECOM is linked to the Coca-Cola bottlers in Spain and Portugal through a service provision contract effective January 1, 2009, by which it negotiates on behalf of the bottlers the supply of certain inputs or raw materials necessary for the preparation, packaging, and distribution of beverages under the Coca-Cola brand both by ENTECOM itself and through the CEPG. Through the Cross Enterprise Procurement Group, negotiations are conducted for: tinplate and aluminum cans, sugar, isoglucose, glass, plastic caps, and sales and marketing equipment. ENTECOM directly negotiates the supply of PET resin, plastic dividers, cardboard and plastic cups, carbon dioxide, polypropylene labels, paper labels, BIB, and cardboard dividers.  </w:t>
        <w:br/>
        <w:t xml:space="preserve">CASTELLANA DE BEBIDAS GASEOSAS S.A. (CASBEGA).  </w:t>
        <w:br/>
        <w:t xml:space="preserve">CASBEGA is a Spanish capital company, created as a concessionaire of Coca-Cola in 1952. THE COCA-COLA COMPANY (TCCC), unlike what occurs in other countries, does not participate in the shareholding of any of its bottlers in Spain and Portugal. Its main activity is, in accordance with the Bottler Agreement concluded with TCCC, the production, marketing, and distribution of beverages of brands registered by the multinational Coca-Cola. Its product range consists of carbonated and non-carbonated soft drinks, juices and nectars, and mineral waters (folios 115 and 116).  </w:t>
        <w:br/>
        <w:t xml:space="preserve">It manufactures and distributes the following brands: Aquarius, Burn, Coca Cola, Coca Cola light, Coke, Coke Zero, Drim, Fanta, Finley, Fruitopia, Kinley, Minute Maid, Nordic Mist, Powerade, Sonfil, Sprite, Sprite light, and Tab in their different presentations and formats (folios 681 and 696).  </w:t>
        <w:br/>
        <w:t xml:space="preserve">CASBEGA has its main production center in the industrial complex of Fuenlabrada (Madrid), and operates primarily in the territory assigned in its “Bottler Agreement” which encompasses Madrid, Toledo, Ciudad Real, and Castilla y León, with the exception of the provinces of Burgos and León (folio 119).  </w:t>
        <w:br/>
        <w:t>The turnover in 2009 was [CONFIDENTIAL] million euros, of which [CONFIDENTIAL] million euros corresponded to the sales made.</w:t>
      </w:r>
    </w:p>
    <w:p>
      <w:r>
        <w:rPr>
          <w:b/>
        </w:rPr>
        <w:t>[Pages 4–6]</w:t>
      </w:r>
    </w:p>
    <w:p>
      <w:r>
        <w:t>sales made in the areas assigned by The Coca-Cola Company for active sales, and with a very small volume of passive sales, the most significant being those made in the territory of Andalucía/Extremadura, where a turnover of [CONFIDENTIAL] million euros was reached in 2009.</w:t>
      </w:r>
    </w:p>
    <w:p>
      <w:r>
        <w:t>Until December 31, 2008, CASBEGA, through an intermediary unit named ENTECOM, framed within the structure of the company, carried out the tasks of a purchasing center for the main inputs necessary for the manufacturing of its products, both for itself and for the other Coca-Cola bottlers in Spain and the bottler in Portugal (folios 99 and 116).</w:t>
      </w:r>
    </w:p>
    <w:p>
      <w:r>
        <w:t>OTHER COCA-COLA BOTTLERS IN SPAIN AND PORTUGAL.</w:t>
      </w:r>
    </w:p>
    <w:p>
      <w:r>
        <w:t>In addition to CASBEGA, the Coca-Cola group has 6 additional authorized bottlers in Spain for the marketing, distribution, and sale of Coca-Cola products: Asturiana de Bebidas Gaseosas (ASTURBEGA), Bebidas Gaseosas del Noroeste (BEGANO), COBEGA, Compañía Levantina de Bebidas Gaseosas (COLEBEGA), Norteña de Bebidas Gaseosas (NORBEGA), and Refrescos Envasados del Sur (RENDELSUR). It also has another bottler in Portugal (REFRIGE).</w:t>
      </w:r>
    </w:p>
    <w:p>
      <w:r>
        <w:t>The TCCC bottlers are characterized, both in Spain and Portugal, by being companies with entirely national capital and without any shareholding participation from Coca-Cola, with which this company maintains long-term licensing contracts (the “Bottler” contracts), granting them exclusivity for the manufacturing, bottling, and marketing of its products for a specifically defined territory, without actively competing with other bottlers outside of it, in which TCCC does have shareholding participation. Given the existence of territorial exclusives, the competition that occurs is merely through passive sales, defined as sales made in response to unsolicited orders from individual customers or specific customer groups, including the delivery of goods and services to such customers (Art.2.5.b RDC). That is to say, orders made by customers outside their assigned geographical areas are attended to both in Spain and in the European Economic Area.</w:t>
      </w:r>
    </w:p>
    <w:p>
      <w:r>
        <w:t>The Bottler/Distributor Contracts</w:t>
      </w:r>
    </w:p>
    <w:p>
      <w:r>
        <w:t xml:space="preserve">5. The bottlers/distributors operate with territorial exclusives in the Iberian Peninsula that encompass the territories specified below: </w:t>
        <w:br/>
        <w:t xml:space="preserve">- ASTURBEGA operates in the Principality of Asturias and in León (folio 394). </w:t>
        <w:br/>
        <w:t xml:space="preserve">- BEGANO operates in the four provinces of the CCAA of Galicia (folio 775). </w:t>
        <w:br/>
        <w:t xml:space="preserve">- CASBEGA operates in Madrid, Toledo, Ciudad Real, and in all provinces of Castilla y León except for the provinces of León and Burgos (folio 682). </w:t>
        <w:br/>
        <w:t xml:space="preserve">- COBEGA operates in Catalonia, Andorra, Aragon, Balearic Islands, and Canary Islands (folio 649). </w:t>
        <w:br/>
        <w:t xml:space="preserve">- COLEBEGA operates in the Valencian Community, Murcia, and in the provinces of Albacete and Cuenca (folio 817). </w:t>
        <w:br/>
        <w:t xml:space="preserve">- NORBEGA operates in Cantabria, Navarra, Basque Country, La Rioja, and Burgos (folio 725). </w:t>
        <w:br/>
        <w:t xml:space="preserve">- RENDELSUR operates in Andalucía, Extremadura, Ceuta, and Melilla (folio 920). </w:t>
        <w:br/>
        <w:t>- In Portugal, Coca-Cola has the bottler REFRIGE (folio 599).</w:t>
      </w:r>
    </w:p>
    <w:p>
      <w:r>
        <w:t>The “Bottler” contracts are licensing contracts by which TCCC authorizes a bottling company to prepare (manufacture), package, and market Coca-Cola brand products in a specifically defined territory in an annex of the contract itself. Contractually, the Bottler is obliged to purchase from Coca-Cola the “base” preparations for the production of the beverages, use Coca-Cola’s trademarks and corporate elements, and maintain the quality standards and technical specifications of containers and packages.</w:t>
      </w:r>
    </w:p>
    <w:p>
      <w:r>
        <w:t>The “Bottler” contracts not only authorize the bottling company to manufacture and market Coca-Cola products, but also establish rights and obligations for both parties, and among the obligations affecting the bottler, Article 11 mentions that “CONFIDENTIAL”.</w:t>
      </w:r>
    </w:p>
    <w:p>
      <w:r>
        <w:t>Spanish bottlers also procure supplies of some products through a global purchasing center, the Cross Enterprise Procurement Group of the Coca-Cola group, in which ENTECOM participates, grouping the requests of the bottlers of the Iberian Peninsula.</w:t>
      </w:r>
    </w:p>
    <w:p>
      <w:r>
        <w:t>Finally, it should be noted that, in Spain, Coca-Cola has an instrumental company, Refrescos Envasados SA, which is the sole shareholder of the commercial entity Compañía de Servicios de Bebidas Refrescantes SL, which provides marketing services, promotional campaigns, market studies, and technical support to the Bottlers.</w:t>
      </w:r>
    </w:p>
    <w:p>
      <w:r>
        <w:t>The reported facts</w:t>
      </w:r>
    </w:p>
    <w:p>
      <w:r>
        <w:t>6. The facts that substantiate the analyzed conduct are known as a result of the sending by the Social Court No. 34 of Madrid of its judgment in the dismissal claim brought by an employee of the company CASBEGA against this company and its subsidiary, ENTECOM, and derive from a Report presented in court by CASBEGA itself prepared by the Uría Menéndez Law Firm dated November 3, 2006 (folios 36 to 41).</w:t>
      </w:r>
    </w:p>
    <w:p>
      <w:r>
        <w:t>The aforementioned report warns of the risk that “the defense authorities could legitimately consider that the existence of ENTECOM restricts competition among the bottlers, which is already residual, and reinforces cooperation among them. The situation of CASBEGA seems no longer to be that of someone abusing a dominant position, but rather that of controlling the rest of the group of bottlers.”</w:t>
      </w:r>
    </w:p>
    <w:p>
      <w:r>
        <w:t>And the Judge states that “… CASBEGA, through an instrumental company, ENTECOM SL, has been making purchases on behalf of all Spanish and Portuguese bottlers of Coca-Cola products for raw materials, packaging, and containers, at the very least. Obviously conditioning the final price of the product with the setting of such purchase and sale prices to the bottlers” (folios 19 and 20).</w:t>
      </w:r>
    </w:p>
    <w:p>
      <w:r>
        <w:t>In the Report from the Uría-Menéndez Firm, a series of recommendations are pointed out regarding how the operation and nature of ENTECOM should be adapted to competition rules, starting from a situation described as follows: “By virtue of their corresponding Bottler Agreements signed with TCCC, each bottler has an exclusive territory assigned for the sale of products under the brands owned by TCCC. Likewise, each of these Bottlers has limited active sales in the territory exclusively assigned to another Bottler. However, nothing prevents the Bottlers from attending to unsolicited orders made from the territory of another Bottler. Consequently, regarding passive or unsolicited sales, the Bottlers find themselves in a competitive situation, so the operation of ENTECOM would imply a common purchasing agreement among competing companies” (folio 36). In another section of the report, it is noted that: “The Bottlers acquire a large number of products through ENTECOM, either directly or through their participation in the Cross Enterprise Procurement Group. Furthermore, the Bottlers have significant market shares in Spain (over 15%) concerning the sales of certain products. In summary, the competition defense authorities could legitimately consider that the existence and operation of ENTECOM restricts competition among the Bottlers – already residual – and reinforces cooperation among them” (folio 38).</w:t>
      </w:r>
    </w:p>
    <w:p>
      <w:r>
        <w:t>The recommendations proposed by the report, maintaining the role that ENTECOM played as a purchasing center were: i[CONFIDENTIAL] (folios 39 to 41).</w:t>
      </w:r>
    </w:p>
    <w:p>
      <w:r>
        <w:t>ENTECOM in the acquisition markets</w:t>
      </w:r>
    </w:p>
    <w:p>
      <w:r>
        <w:t>7. From the information in the file, ENTECOM declares (f 943) that the raw materials it negotiates on behalf of the bottlers are: PET Resin, Plastic Groupers, Crown Caps, Carbon Dioxide, Cardboard Cups, Polypropylene Labels, paper labels, BIB Bag, Cardboard Groupers, and Plastic Cups. In other information provided, when giving the list of suppliers, it can be seen that most of the products acquired are negotiated in the international market, where both national and international suppliers compete (Sugar, Carbon Dioxide, Resin, PET Preforms, Aluminum and tinplate cans, etc.). Only in three of the acquired products are the suppliers exclusively national suppliers. These products are Bottle Racks, Labels, and BIB Bag. In the case of labels, ENTECOM sources them from a dozen companies; the</w:t>
      </w:r>
    </w:p>
    <w:p>
      <w:r>
        <w:rPr>
          <w:b/>
        </w:rPr>
        <w:t>[Pages 7–9]</w:t>
      </w:r>
    </w:p>
    <w:p>
      <w:r>
        <w:t>BIB bags are acquired from two operators that supply both the national and international markets, and for bottle racks, they have only one supplier. The quotas have been calculated as global quotas because the negotiation by ENTECOM is conducted on a global level, and the suppliers are usually multinational groups that operate worldwide and organize their supplies centrally (folios 948 and 949). These quotas are shown in the following two tables:</w:t>
      </w:r>
    </w:p>
    <w:p>
      <w:r>
        <w:t>TABLE I</w:t>
        <w:br/>
        <w:t>PURCHASE QUOTA OF INPUTS NEGOTIATED THROUGH THE CROSS ENTERPRISE PROCUREMENT GROUP</w:t>
        <w:br/>
        <w:t>Bottler</w:t>
        <w:br/>
        <w:t>Product COBEGA CASBEGA COLEBEGA BEGANO NORBEGA ASTURBEGA RENDELSUR TOTAL</w:t>
        <w:br/>
        <w:t>Tinplate cans [&lt;10%] %[&lt;10%] %[&lt;10%] %[&lt;10%] %[&lt;10%] %[&lt;10%] %[&lt;10%] %[&lt;10%]</w:t>
        <w:br/>
        <w:t>Sugar [&lt;10%] %[&lt;10%] %[&lt;10%] %[&lt;10%] %[&lt;10%] %[&lt;10%] %[&lt;10%] %[&lt;10%]</w:t>
        <w:br/>
        <w:t>Isoglucose [&lt;10%] %[&lt;10%] %[&lt;10%] %[&lt;10%] %[&lt;10%] %[&lt;10%] %[&lt;10%] %[&lt;10%]</w:t>
        <w:br/>
        <w:t>Glass [&lt;10%] %[&lt;10%] %[&lt;10%] %[&lt;10%] %[&lt;10%] %[&lt;10%] %[&lt;10%] %[&lt;10%]</w:t>
        <w:br/>
        <w:t>Aluminum cans [&lt;10%] %[&lt;10%] %[&lt;10%] %[&lt;10%] %[&lt;10%] %[&lt;10%] %[&lt;10%] %[&lt;10%]</w:t>
        <w:br/>
        <w:t>Caps [&lt;10%] %[&lt;10%] %[&lt;10%] %[&lt;10%] %[&lt;10%] %[&lt;10%] %[&lt;10%] %[&lt;10%]</w:t>
        <w:br/>
        <w:t>plastic</w:t>
        <w:br/>
        <w:t>Source: ENTECOM</w:t>
      </w:r>
    </w:p>
    <w:p>
      <w:r>
        <w:t>TABLE II</w:t>
        <w:br/>
        <w:t>PURCHASE QUOTA OF INPUTS NEGOTIATED EXCLUSIVELY THROUGH ENTECOM</w:t>
        <w:br/>
        <w:t>Bottler</w:t>
        <w:br/>
        <w:t>Product COBEGA CASBEGA COLEBEGA BEGANO NORBEGA ASTURBEGA RENDELSUR TOTAL</w:t>
        <w:br/>
        <w:t>PET Resin [&lt;10%] [&lt;10%] [&lt;10%] [&lt;10%] [&lt;10%] [&lt;10%] [&lt;10%] [&lt;10%]</w:t>
        <w:br/>
        <w:t>Plastic Groupers [&lt;10%] [&lt;10%] [&lt;10%] [&lt;10%] [&lt;10%] [&lt;10%] [&lt;10%] [&lt;10%]</w:t>
        <w:br/>
        <w:t>Crown Caps [&lt;10%] [&lt;10%] [&lt;10%] [&lt;10%] [&lt;10%] [&lt;10%] [&lt;10%] [&lt;10%]</w:t>
        <w:br/>
        <w:t>Carbon Dioxide [&lt;10%] [&lt;10%] [&lt;10%] [&lt;10%] [&lt;10%] [&lt;10%] [&lt;10%] [&lt;10%]</w:t>
        <w:br/>
        <w:t>Cardboard Cups [&lt;10%] [&lt;10%] [&lt;10%] [&lt;10%] [&lt;10%] [&lt;10%] [&lt;10%] [&lt;10%]</w:t>
        <w:br/>
        <w:t>Labels [&lt;10%] [&lt;10%] [&lt;10%] [&lt;10%] [&lt;10%] [&lt;10%] [&lt;10%] [&lt;10%]</w:t>
        <w:br/>
        <w:t>polypropylene</w:t>
        <w:br/>
        <w:t>Paper Labels [&lt;10%] [&lt;10%] [&lt;10%] [&lt;10%] [&lt;10%] [&lt;10%] [&lt;10%] [&lt;10%]</w:t>
        <w:br/>
        <w:t>BIB [&lt;10%] [&lt;10%] [&lt;10%] [&lt;10%] [&lt;10%] [&lt;10%] [&lt;10%] [&lt;10%]</w:t>
        <w:br/>
        <w:t>Cardboard Groupers [&lt;10%] [&lt;10%] [&lt;10%] [&lt;10%] [&lt;10%] [&lt;10%] [&lt;10%] [&lt;10%]</w:t>
        <w:br/>
        <w:t>Plastic Cups [&lt;10%] [&lt;10%] [&lt;10%] [&lt;10%] [&lt;10%] [&lt;10%] [&lt;10%] [&lt;10%]</w:t>
        <w:br/>
        <w:t>Source: ENTECOM</w:t>
      </w:r>
    </w:p>
    <w:p>
      <w:r>
        <w:t>8. To make order estimates, ENTECOM sends the bottlers forms for them to fill out at the end of the year prior to which the orders will be negotiated. These are forms with a monthly breakdown in which the detailed products (in 2008 and 2009) are grouped into: Products for beverage manufacturing (Sugar, Isoglucose, Carbon Dioxide, and Nitrogen); and Products for packaging and storage (Caps, Labels, Glass Bottles 200 cc, PET Resin, PET Preforms, BIB Bags, Plastic Groupers, Cardboard Groupers, Cardboard Cups, Plastic Cups). In 2010, Decorated Shrink Film was incorporated as a new management.</w:t>
      </w:r>
    </w:p>
    <w:p>
      <w:r>
        <w:t>In the case of aluminum cans, it is noted in the file that ENTECOM signed, on behalf of the bottlers, two supply contracts for cans, the first with Rexam Beverage Can Europe, for the supply of [CONF]% of the bottlers' needs from January 1, 2006, to December 31, 2009, and another on January 1, 2007, until December 31, 2008, with Crown Bevcan España, SL, for the supply of [CONF]% of the bottlers' needs.</w:t>
      </w:r>
    </w:p>
    <w:p>
      <w:r>
        <w:t>Market Description</w:t>
        <w:br/>
        <w:t>9. The economic sector in which the Coca-Cola Bottlers in Spain and Portugal operate is non-alcoholic beverages, which would include soft drinks, fruit juices or those based on concentrates, and bottled mineral waters. According to national precedents (C-0314/10 ORANGINA SCHWEPPES/SUNNY) and community precedents (COMP/M.2504 Cadbury Schweppes/Pernod Ricard, IV/M.1065 Nestlé/San Pellegrino, IV/M.833 The Coca-Cola Company/Carlsberg IV/M.794 Coca-Cola Enterprises/Amalgamated Beverages, IV/M.190 Nestlé/Perrier), the following product markets within the non-alcoholic beverage sector have been considered: (i) carbonated beverage market (further divided into cola-flavored and non-cola), (ii) non-carbonated beverage market, (iii) juice and nectar market, (iv) water market, and (v) dairy beverage market.</w:t>
      </w:r>
    </w:p>
    <w:p>
      <w:r>
        <w:t>They have also distinguished two clearly differentiated segments based on the distribution circuit used: supply/manufacturing and marketing for the food channel (hypermarkets, discount stores, supermarkets, etc.) and supply/manufacturing and marketing for the HORECA channel (restaurants, bars, and hotels). Both markets constitute separate markets due to the absence of demand substitutability, as the first would have households as customers, consumption would be deferred (not at the place of purchase), sales would be made in larger unit formats (packs, boxes, etc.) and at lower prices, usually with discounts and promotions conditioned on high sales volumes.</w:t>
      </w:r>
    </w:p>
    <w:p>
      <w:r>
        <w:t>Regarding the HORECA channel, consumption is immediate, customers are individualized, and sales are generally made in units.</w:t>
      </w:r>
    </w:p>
    <w:p>
      <w:r>
        <w:t>In relation to the geographical dimension of the market, existing national and community precedents have considered it to be a national scope market, due to high transportation costs, the existence of national licensing and distribution agreements (as is the case with the Coca-Cola Bottlers), and consumer preferences for certain brands (N-171 Schweppes/La Casera and COMP/M 2504 Cadbury Schweppes/Pernod Richard). There is a possibility of segmenting the geographical scope, distinguishing between a peninsular market (and the Balearic archipelago) and one specific to the Canary Islands. The consideration of the Canary Islands as a differentiated geographical market arises from the greater relevance of the HORECA channel in that territory, primarily due to its strong sectoral specialization in tourism, as well as the higher transportation costs due to the distance from the peninsular territory and the territorial dispersion due to the existence of seven islands in the archipelago (N-171 Schweppes/La Casera and COMP/M 2504 Cadbury Schweppes/Pernod Richard).</w:t>
      </w:r>
    </w:p>
    <w:p>
      <w:r>
        <w:t>10. The 7 Spanish bottlers, which through exclusive territorial distribution contracts cover the entire national market, distributed in 2009 through the HORECA channel nearly 95% of the cola-flavored carbonated beverage market; 60% of carbonated beverages with flavors other than cola; just over 25% in non-carbonated beverages and 17% in juices. In the food channel, the figures are respectively 84%, 60%, 19%, and 11%. Analyzing the weight by bottlers, in the cola-flavored carbonated beverage market through the HORECA channel, the four main ones are around 15 to 20% and the remaining three would have less than 10% each. The figures vary somewhat in non-cola beverages and in the food channel, although the relative positions do not change significantly. In cola carbonated beverages in the HORECA channel, from 2008 to 2009, reductions and increases in market shares are observed that barely exceed 1%, except for one of the bottlers with a smaller share that increased it by almost 3%, presumably at the expense of taking it from other cola carbonated beverages not belonging to its brand, given the increase in the share of the group of bottlers in the market. The opposite seems to have happened in the food channel, as that same distributor would have lost 2% of its modest share, and the total market would have lost just over 4%.</w:t>
      </w:r>
    </w:p>
    <w:p>
      <w:r>
        <w:t>11. The companies have provided information about their cost structure according to the grouping of concepts requested by the DI: raw materials, packaging, and others. The following table shows the average and range for each of these three concepts in three standard products. Raw materials include concentrate, which is supplied directly by The Coca-Cola Company, sugar, isoglucose, carbon dioxide, nitrogen, and water; in packaging, there are PET, Glass, cans, Caps, Labels, and boxes and cartons; and in "others," the rest of storage costs and others. Except for the concentrate, ENTECOM acquires most of the inputs from its partners. The concentrate is acquired by contract from a single supplier: TCCC.</w:t>
      </w:r>
    </w:p>
    <w:p>
      <w:r>
        <w:rPr>
          <w:b/>
        </w:rPr>
        <w:t>[Pages 10–12]</w:t>
      </w:r>
    </w:p>
    <w:p>
      <w:r>
        <w:t>the purchasing entity ENTECOM, S.L. the responsibility of negotiating and acquiring the necessary inputs for their production. This arrangement allows the bottlers and distributors to benefit from economies of scale and improved purchasing conditions, as ENTECOM consolidates the demand from all its members.</w:t>
      </w:r>
    </w:p>
    <w:p>
      <w:r>
        <w:t>THIRD.- The analysis of the facts reveals that the operational structure of ENTECOM, S.L. has evolved over time, particularly after January 1, 2009, when the purchasing center transitioned from being solely under the control of CASBEGA, S.A. to a shared ownership model among all bottlers/distributors. This change has implications for the competitive dynamics in the market, as it potentially alters the nature of cooperation among competitors.</w:t>
      </w:r>
    </w:p>
    <w:p>
      <w:r>
        <w:t>FOURTH.- The investigation has not found sufficient evidence to suggest that the activities of ENTECOM, S.L. have led to anti-competitive practices or infringements of the LDC. The operational efficiencies gained through the centralization of purchasing do not appear to have adversely affected competition in the relevant markets.</w:t>
      </w:r>
    </w:p>
    <w:p>
      <w:r>
        <w:t>FIFTH.- In light of the above considerations, the Council concludes that there are no indications of infringement of the LDC, and therefore, it is appropriate to propose the non-initiation of sanctioning proceedings and the closure of the investigation.</w:t>
      </w:r>
    </w:p>
    <w:p>
      <w:r>
        <w:t>16. The present resolution was deliberated by the Council of the CNC in its meetings on June 1 and 8, 2011, with the decision being made on the latter date.</w:t>
      </w:r>
    </w:p>
    <w:p>
      <w:r>
        <w:t>LEGAL GROUNDS</w:t>
      </w:r>
    </w:p>
    <w:p>
      <w:r>
        <w:t>FIRST.- Number 3 of Article 49 of the Competition Defense Law states that the Council, at the proposal of the Investigation Directorate of the National Competition Commission, may agree not to initiate sanctioning proceedings for the alleged commission of prohibited conduct under Articles 1, 2, and 3 of the Law and, consequently, proceed to close the actions carried out by the Investigation Directorate when it considers that there are no indications of infringement of the LDC.</w:t>
      </w:r>
    </w:p>
    <w:p>
      <w:r>
        <w:t>SECOND.- The purpose of this resolution is to assess the known and analyzed facts by the Investigation Directorate to determine whether they could lead to the initiation of a sanctioning file, or if, on the contrary, in the absence of indications of infringement, it would be appropriate to close the actions taken so far.</w:t>
      </w:r>
    </w:p>
    <w:p>
      <w:r>
        <w:t>The facts focus on the configuration, functions, and activities of ENTECOM, S.L., first as a dependent entity of the bottler CASBEGA, S.A., and later as a company participated in by all the bottlers/distributors of The Coca-Cola Company in the Iberian Peninsula. ENTECOM has been operating since its incorporation as a purchasing center whose acquisitions were intended to supply productive inputs to the aforementioned bottlers/distributors, seven in Spain and one in Portugal, being these eight all that hold territorial exclusive licenses for the bottling and distribution of the products in the licensor's portfolio, the Coca-Cola Group.</w:t>
      </w:r>
    </w:p>
    <w:p>
      <w:r>
        <w:t>ENTECOM is a company whose activity is limited to managing the purchase of products for the manufacture of the final product to which its owners are dedicated. From a competition perspective, we are faced with an agreement in which the bottlers and distributors of certain beverages delegate to ENTECOM the responsibility of negotiating and acquiring the necessary inputs for their production.</w:t>
      </w:r>
    </w:p>
    <w:p>
      <w:r>
        <w:rPr>
          <w:b/>
        </w:rPr>
        <w:t>[Pages 13–15]</w:t>
      </w:r>
    </w:p>
    <w:p>
      <w:r>
        <w:t>a shared ownership company for the joint purchase of a significant group of their productive inputs. Therefore, this is an activity with potential effects in two groups of markets: the upstream market for acquiring raw materials (as many affected markets as raw materials are purchased jointly) or reference purchase markets, according to the terminology of the Guidelines on the applicability of Article 101 TFEU to horizontal cooperation agreements (Horizontal Guidelines, HG), and the downstream market, where these operators market their final product, or sales markets according to the HG.</w:t>
      </w:r>
    </w:p>
    <w:p>
      <w:r>
        <w:t>It must therefore be analyzed in this resolution whether there are indications that at one level or another, the purchasing center ENTECOM could generate a significant loss of competition, either due to the direct impact of its activity on them, or due to the effect that possible exchanges of information between the members of the aforementioned entity could have in the scope of ENTECOM's operations.</w:t>
      </w:r>
    </w:p>
    <w:p>
      <w:r>
        <w:t>THIRD.- The purpose of a joint purchasing agreement is to reduce, for its participants, the acquisition costs of their productive inputs. The origin of this cost reduction can be of various natures. To the extent that a higher acquisition volume is achieved through the agreement than that held individually by each of them, certain economies of scale can be generated, for example in transportation, storage, and distribution, but it may also happen that their negotiating power against suppliers is strengthened. From the perspective of competition defense, this second aspect is particularly concerning, as such greater negotiating power may lead to a reduction in competition that results in a narrower range or quality of purchased products, a reduction in incentives for innovation, or the closure of those markets to other operators with which they compete in the downstream markets. The fewer the number of suppliers competing in the purchase markets, the greater the barriers to entry to those markets, and the greater the dependence of those markets on the purchasing center, the greater the competition problems that the purchasing agreement may generate in those markets. Therefore, to better analyze a purchasing agreement that does not result in anti-competitive effects by its object, the actual and probable effects on competition must be analyzed in its legal and economic context, as indicated by the HG in § 207.</w:t>
      </w:r>
    </w:p>
    <w:p>
      <w:r>
        <w:t>To carry out the aforementioned analysis, it will be important to fundamentally consider the market concentration and the possible negotiating power of strong suppliers, measured by the substitution possibilities that exist, after the agreement, for the suppliers in those markets. The alternatives that suppliers have to sell their products to third parties outside the purchasing "central" will determine the existence of competitive pressure from the central. Once the purchasing market is defined, the market share that the central has in that market provides relevant information about competitive pressure. Thus, according to § 208 of the HG, “it is unlikely that market power exists if the parties to the joint purchasing arrangement have a combined market share that does not exceed 15% in the purchasing markets and also a combined market share that does not exceed 15% in the sales markets.” And in § 209 it is added that “A market share that exceeds one or both thresholds does not automatically indicate that it is likely that the joint purchasing arrangement will produce restrictive effects on competition.”</w:t>
      </w:r>
    </w:p>
    <w:p>
      <w:r>
        <w:t>First, given that the information contained in the file does not show indications that this purchasing center could constitute a restriction on competition by object, a valuation is then made regarding the possible effects that it could generate. From the information in the file, as detailed in the background of this resolution, it is observed that almost all products acquired by the purchasing center are purchased in international markets, where suppliers are both national and international companies. That is to say, they are suppliers that belong to multinational groups that operate worldwide, organize their supplies centrally, and predominantly operate in international markets. For that same reason, the provided acquisition quotas refer to global markets.</w:t>
      </w:r>
    </w:p>
    <w:p>
      <w:r>
        <w:t>From these quotas, ENTECOM reaches, in the product Tinplate Cans, a [&lt;10%]. This product is negotiated through the Cross Enterprise Procurement Group. In the case of aluminum cans, the quota is close to [CONF]. The rest of the products purchased through CEPG do not reach [&lt;10%] of their respective markets. Regarding the products that ENTECOM negotiates directly, in plastic aggregators it reaches [&lt;10%] in international markets. Slightly less than [&lt;10%] in crown caps and [&lt;10%] in BIB (Bag in Box).</w:t>
      </w:r>
    </w:p>
    <w:p>
      <w:r>
        <w:t>In summary, it is observed that the purchasing center sources from predominantly international markets, and from both international and national suppliers. The type of international suppliers are mostly multinational operators with a presence worldwide, and the percentage acquired by ENTECOM in their respective markets is, in most cases, well below 15%, in fact, it is below [&lt;10%] in all except for plastic aggregators [&lt;10%] and tinplate cans [&lt;10%]. Therefore, there are no indications of a significant impact on competition in those markets.</w:t>
      </w:r>
    </w:p>
    <w:p>
      <w:r>
        <w:t>There are three categories of products, which without delving into the geographical dimension of them, it is observed that their suppliers are only national: these are BIB bags, labels, and bottle racks. A slightly more detailed analysis reveals that in the case of BIB bags, the two companies that supply the purchasing center are leaders in that type of packaging in Spain, and supply not only to companies located in national territory but also in third countries. One of them belongs to a major international group that is a leader in the packaging sector. In the case of bottle racks, they are the typical top-loading refrigerators used in hospitality establishments, which allows for a broad demand for these products outside of that generated by ENTECOM. Lastly, in the case of labels, it is observed that they are supplied by a large number of operators, about a dozen, and that in the market for label design and manufacturing, it is logical to see a broad and varied demand outside of that generated by ENTECOM. For all these reasons, no anti-competitive effects arise from the activity of ENTECOM.</w:t>
      </w:r>
    </w:p>
    <w:p>
      <w:r>
        <w:t>FOURTH.- The shareholders of ENTECOM are the bottlers/distributors in the Iberian Peninsula of The Coca-Cola Company, who operate through exclusive territorial distribution contracts, and therefore compete in the sale of the same products, albeit with territorial exclusives.</w:t>
      </w:r>
    </w:p>
    <w:p>
      <w:r>
        <w:t>From the perspective of competition defense, we are concerned that the incentives for competitors to compete on prices may be reduced as a consequence of jointly purchasing a significant part of their inputs (§ 201 HG), since such an agreement may imply a homogenization in acquisition prices and therefore in production costs. And in the event that the companies have a considerable degree of market power in the sales market, the efficiency improvements in the form of cost savings derived from the joint purchase may not translate into benefits for consumers if there are no incentives to pass on those efficiencies.</w:t>
      </w:r>
    </w:p>
    <w:p>
      <w:r>
        <w:t>It is therefore appropriate to assess the effects that the joint purchase made by ENTECOM may show in the distribution and sale of the final products produced by the shareholders of ENTECOM. Following the HG, a joint purchasing agreement may lead to collusive behavior when such an agreement facilitates the coordination of the members of the agreement in the sales market, and this will be more feasible the greater the degree of common costs thanks to the common purchase, when the parties have market power, and when there are market characteristics that lead to coordination. Therefore, it is appropriate to base the analysis in this Resolution on these elements.</w:t>
      </w:r>
    </w:p>
    <w:p>
      <w:r>
        <w:t>The HG, in paragraph 212, states that if the operators cooperating in the purchasing center compete in different geographic markets, it is unlikely that the joint purchase will have restrictive effects on competition, as they cannot be considered potential competitors. This is not exactly the case analyzed here, since the market is national. However, we find ourselves in a market where distribution is organized based on territorial exclusives that imply the prohibition of serving demand outside the territory in which each distributor has a license to operate, except if that demand can be classified as passive sales, that is, generated without the competitively active participation of the distributor. In this context, the bottlers/distributors participating in the ENTECOM purchasing center have territorial exclusives, but their passive sales are not restricted, and therefore to the extent that a distributor differentiates itself from the other distributors in any of its parameters</w:t>
      </w:r>
    </w:p>
    <w:p>
      <w:r>
        <w:rPr>
          <w:b/>
        </w:rPr>
        <w:t>[Pages 16–18]</w:t>
      </w:r>
    </w:p>
    <w:p>
      <w:r>
        <w:t>competitive parameters, there remains a certain degree for intrabrand competition in each territorial demarcation where a bottler/distributor has exclusivity. Certainly, given the homogeneity in quality imposed by TCCC, the product quality parameter may not be a truly competitive parameter in this case, but others such as price or service quality can be. The greater the differentiation in their cost structure, the greater the margin there may be to compete on prices for those passive sales. Analyzing the cost structures in this file, it is observed that this varies depending on the packaging in which the product is presented, but moreover, the observed ranges reveal that the difference in cost structure between the different bottlers/distributors is significant. Conversely, in this context, the fact that product acquisitions are made through a purchasing center may generate uniformity in acquisition prices that could reduce the margin of competition granted by the relative differentiation in the cost structure. Judging by the figures analyzed in this file, passive sales represent a small part of the market, and when valuing them alongside the highly homogeneous list prices, it is not possible to appreciate at first glance any indications of any type of correlation between the intensity of passive sales of each distributor and their higher or lower prices in relation to the other distributors, that is, their potential intrabrand competitors. In short, apparently intrabrand competition does not play a vigorous role, and there is not enough basis to conclude that the potential effect of the purchasing center on the homogenization of the final price variable will appreciably weaken it.</w:t>
      </w:r>
    </w:p>
    <w:p>
      <w:r>
        <w:t>The statutes of ENTECOM have also been analyzed, as well as the contracts of ENTECOM with the bottlers/distributors, without identifying any anticompetitive clauses therein. The Directorate of Investigation points out that neither from the statutes nor from the contracts can the existence of an obligation to purchase through ENTECOM be deduced, and that the contracts expressly state that the contract is not exclusive for either the Bottler or ENTECOM and that the bottler is free to negotiate and agree on the conditions for acquiring the products directly with suppliers or through other intermediaries. Furthermore, the statutes of ENTECOM themselves state that the object of the company is to carry out intermediation activities, including buying and selling, in the trade of products and raw materials necessary for the preparation and sale of soft drinks and other food products, without any limitation regarding the subjects to whom it can provide such intermediation service. And analyzing the minutes provided from the Shareholders' Meetings and the Board of Directors of ENTECOM S.L., there is also no evidence of the possible existence or application of such clauses by the bottlers, but rather the topics discussed were those typical of the management of a company: the approval of the accounts of the previous financial year and the budgets for the incoming one, hiring of external collaborators, and approval of the management of the company's administrators.</w:t>
      </w:r>
    </w:p>
    <w:p>
      <w:r>
        <w:t>For all these reasons, no indications are appreciated, through the sales markets, of conduct that, within the framework of ENTECOM, is generating anticompetitive effects that would justify the initiation of sanctioning proceedings for violation of Article 1 of the LCD.</w:t>
      </w:r>
    </w:p>
    <w:p>
      <w:r>
        <w:t>FIFTH.- Regarding the treatment of the information that competitors provide to the purchasing center, it is observed that to make order estimates, ENTECOM sends the bottlers forms for them to fill out at the end of the year prior to which those orders will be negotiated. The forms contain a monthly breakdown and a detailed breakdown of products. This is undoubtedly commercially relevant information for competing among themselves, and therefore access to it by the members of the purchasing center would contribute to reducing the element of natural uncertainty regarding the commercial policy of competitors that should govern the functioning of a competitive market.</w:t>
      </w:r>
    </w:p>
    <w:p>
      <w:r>
        <w:t>Before the change in the shareholding composition of ENTECOM on January 1, 2009, purchases were mainly made by the intermediation unit, the embryo of ENTECOM, a unit that, according to its managers, had the necessary mechanisms to safeguard the confidentiality of the information. These safeguards translated into the following: (i) the intermediation unit had exclusive and protected access to a partition of the hard drive of the CASBEGA server, the directory identified by the letter R, which was only accessible to users assigned to the intermediation unit, with those users having their own email domain @entecomsl.com; (ii) the intermediation unit was located on a different floor from that occupied by the Commercial Management of CASBEGA; and (iii) the staff assigned to the intermediation unit did not participate in any of the management or coordination bodies of CASBEGA, such as the Executive Committee, nor were they required to report or inform the Commercial Management of the company about their activities. There are no indications in the file that these safeguards have not been complied with.</w:t>
      </w:r>
    </w:p>
    <w:p>
      <w:r>
        <w:t>Notwithstanding the above, the formal mechanisms for safeguarding the confidentiality of the data and information received were not implemented until January 2009, as a result of the change in the shareholding of ENTECOM. In the new situation, with ENTECOM being participated by all the bottlers/distributors, none of whom have exclusive control over it, service provision contracts have been formalized that include confidentiality agreements. Currently, ENTECOM is subject to obligations to maintain the confidentiality of the information received and managed, which are reflected in clause 5 of the service contract closed with each bottler individually. In it, ENTECOM commits to: “(i) keep and treat as strictly confidential any information of any nature relating to the Bottler, its business, technology, customers, and/or suppliers provided by the Bottler to ENTECOM, and in particular, not to disclose the confidential information to any third party, except to its authorized agents, employees, advisors, and subcontractors, who will be subject to the confidentiality obligations established in this clause…” (folio 1113).</w:t>
      </w:r>
    </w:p>
    <w:p>
      <w:r>
        <w:t>In order to internally reinforce the control of confidentiality, ENTECOM employees must sign an express commitment to confidentiality regarding the use of the information they handle, which specifically pursues the following purposes: i) Preventing any Bottler from accessing the information of others, ii) ensuring that internal security measures are observed, iii) maintaining professional secrecy related to that information among the personnel linked to ENTECOM, iv) informing the Management of any inappropriate use and/or dissemination of that information to adopt the necessary corrective measures. The breach of these obligations is considered a serious violation of the labor obligations of the corresponding employee (folios 1121 and 1122).</w:t>
      </w:r>
    </w:p>
    <w:p>
      <w:r>
        <w:t>Finally, it should be noted that, according to ENTECOM, its workers do not participate in the management or direction bodies of any bottler and have direct communication (without intermediaries) with the bottlers and TCCC.</w:t>
      </w:r>
    </w:p>
    <w:p>
      <w:r>
        <w:t>For all the above reasons and after the reinforcement of the barriers designed to prevent information exchanges that has resulted from the change in the shareholding composition of ENTECOM, there are no indications that allow presuming that the information received by ENTECOM for the development of its centralized purchasing activity is serving for a purpose other than making the functioning of the purchasing center viable.</w:t>
      </w:r>
    </w:p>
    <w:p>
      <w:r>
        <w:t>Consequently, with these assessments, the Council concludes that the conduct infringed, given the legal and economic context in which it occurs, does not have the capacity to restrict competition, and the proceedings should be archived, under Article 49.3 of the LDC.</w:t>
      </w:r>
    </w:p>
    <w:p>
      <w:r>
        <w:t>For all the above, THE COUNCIL HAS RESOLVED</w:t>
      </w:r>
    </w:p>
    <w:p>
      <w:r>
        <w:t>SOLE.- Based on Article 49.3 of Law 15/2007 on the Defense of Competition, not to initiate sanctioning proceedings and to archive the proceedings followed in file S/195/09 ENTECOM AND CASBEGA as a result of information sent by the Social Court No. 34, considering that the reported facts do not present indications of a violation of the LDC.</w:t>
      </w:r>
    </w:p>
    <w:p>
      <w:r>
        <w:t>This Resolution shall be communicated to the Directorate of Investigation and notified to the parties, informing them that against it, no administrative appeal is possible, and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