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https://www.cnmc.es/expedientes/s019709</w:t>
      </w:r>
    </w:p>
    <w:p>
      <w:r>
        <w:t>Pages translated : 32</w:t>
      </w:r>
    </w:p>
    <w:p/>
    <w:p>
      <w:r>
        <w:rPr>
          <w:b/>
        </w:rPr>
        <w:t>[Pages 1–3]</w:t>
      </w:r>
    </w:p>
    <w:p>
      <w:r>
        <w:t xml:space="preserve">RESOLUTION  </w:t>
        <w:br/>
        <w:t xml:space="preserve">(Expte. S/0197/09 SECURITY AGREEMENT)  </w:t>
        <w:br/>
        <w:t xml:space="preserve">Council:  </w:t>
        <w:br/>
        <w:t xml:space="preserve">Messrs.:  </w:t>
        <w:br/>
        <w:t xml:space="preserve">D. Joaquín García Bernaldo de Quirós, President  </w:t>
        <w:br/>
        <w:t xml:space="preserve">Dña. Pilar Sánchez Núñez, Vice President  </w:t>
        <w:br/>
        <w:t xml:space="preserve">D. Julio Costas Comesaña, Councilor  </w:t>
        <w:br/>
        <w:t xml:space="preserve">Dña. Mª Jesús González López, Councilor  </w:t>
        <w:br/>
        <w:t xml:space="preserve">Dña. Inmaculada Gutiérrez Carrizo, Councilor  </w:t>
        <w:br/>
        <w:t xml:space="preserve">Dña. Paloma Ávila de Grado, Councilor  </w:t>
        <w:br/>
        <w:t xml:space="preserve">D. Luis Díez Martín, Councilor.  </w:t>
        <w:br/>
        <w:t xml:space="preserve">In Madrid, on March 27, 2012.  </w:t>
        <w:br/>
        <w:t xml:space="preserve">The Council of the National Competition Commission (CNC), with the composition expressed above, and with Dña. Inmaculada Gutiérrez Carrizo as Rapporteur, has issued the following Resolution in the file S/0197/09 SECURITY AGREEMENT, initiated against the Professional Association of Private Security Service Companies of Spain (APROSER), the Spanish Business Federation of Security (FES), the Association of Media, Professionals, and Security Companies (AMPES), the Catalan Association of Security Companies (ACAES), the State Federation of Services of the General Union of Workers (FES-UGT), and the Federation of Private Security Workers of the Workers' Trade Union (FTSP-USO), by the Directorate of Investigation dated April 12, 2010, for alleged restrictive practices of competition, in accordance with Law 15/2007, of July 3, on the Defense of Competition (LDC).  </w:t>
        <w:br/>
        <w:t xml:space="preserve">FACTUAL BACKGROUND  </w:t>
        <w:br/>
        <w:t xml:space="preserve">1. On September 18, 2009, the Directorate of Investigation received a complaint from Blindados Grupo Norte, S.A. (currently EFECTIVOX, S.A.) against APROSER, FES, AMPES, ACAES, FES-UGT, and FTSP-USO, for alleged prohibited conduct under Articles 1 and 2 of the LDC and Article 102 of the TFEU, consisting of the drafting and application of Article 14 of the State Collective Agreement of Security Companies 2005-2008, titled "subrogation of services," and, in particular, the regulation of subrogation in transport and cash handling services. According to the complainant, the vagueness and disconnection between the worker subrogation system provided in that article and the actual personnel needs that the new awardee of the transport and cash handling services may require create barriers to entry in the security companies sector, disincentivizing or preventing the operation of operators in that sector (folios 1 to 59).  </w:t>
        <w:br/>
        <w:t xml:space="preserve">2. After receiving the complaint, the Directorate of Investigation decided to carry out a reserved inquiry to clarify the facts, as a preliminary step before initiating the corresponding file, if appropriate.  </w:t>
        <w:br/>
        <w:t xml:space="preserve">3. In view of the reserved inquiry, the Directorate of Investigation observed rational indications of the existence of conduct prohibited by the LDC, consisting of the drafting and application, by the Associations and Unions signatories to the State Collective Agreement of Security Companies 2005-2008, whose Article 14 establishes a worker subrogation system in transport and cash handling services that could be excessively burdensome for the awardee companies, disincentivizing the entry of competitors in the provision of such services and restricting competition in the sector (folios 212 to 325). Therefore, in accordance with the provisions of Article 49.1 LDC, on April 12, 2010, the Directorate of Investigation agreed to initiate a sanctioning file for conduct prohibited by Article 1 LDC against APROSER, FES, AMPES, ACAES, FES-UGT, and FTSP-USO (folios 326 to 328).  </w:t>
        <w:br/>
        <w:t xml:space="preserve">4. On May 11, 2010, a letter was received in this Directorate of Investigation from the legal representation of APROSER, FES, and ACAES, requesting the initiation of the processing of a conventional termination for the aforementioned sanctioning file (folios 421-422).  </w:t>
        <w:br/>
        <w:t xml:space="preserve">5. On May 13, 2010, in accordance with the provisions of Article 39 of the RDC (Royal Decree 261/08, of February 22), the Directorate of Investigation agreed to initiate the proceedings aimed at the conventional termination of the sanctioning procedure in reference (folios 453-454).  </w:t>
        <w:br/>
        <w:t xml:space="preserve">6. On June 2, 2010, APROSER, FES, and ACAES submitted commitments to ensure the elimination of the alleged anti-competitive effects derived from the current wording of section B of Article 14 of the State Collective Agreement of Security Companies 2005-2008 (folios 484 to 491). This proposal of commitments was sent to the Council on June 7, 2010.  </w:t>
        <w:br/>
        <w:t xml:space="preserve">7. On June 25, 2010, BLINDADOS submitted allegations against the proposal of commitments presented by APROSER, FES, and ACAES and provided certain evidence (folios 513 to 534).  </w:t>
        <w:br/>
        <w:t xml:space="preserve">8. On November 18, 2010, and in accordance with Article 39 of Royal Decree 261/2008, which approves the Regulation on the Defense of Competition, the Directorate of Investigation agreed to conclude the proceedings aimed at the conventional termination, considering that subrogation is a matter that falls outside the scope of application of the LDC (folio 538). On December 1, 2010, the complainant submitted a letter of allegations regarding this and provided certain evidence (folios 557 to 610).  </w:t>
        <w:br/>
        <w:t xml:space="preserve">9. In accordance with the provisions of Article 50.3 of the LDC, on March 1, 2011, the Statement of Facts (PCH) was formulated in which the DI concludes that Article 14 of the State Collective Agreement of Security Companies 2005-2008 falls outside the scope of the LDC. The Statement of Facts was notified to APROSER, AMPES, ACAES, FES, FTSP-USO, FES-UGT, and BLINDADOS on March 4, 2011 (folios 640 to 753).  </w:t>
        <w:br/>
        <w:t xml:space="preserve">10. On March 21, 2010, the complainant submitted allegations expressing their opposition to the PCH, providing new evidence and requesting proof (folios 640 to 753).  </w:t>
        <w:br/>
        <w:t xml:space="preserve">11. In application of the provisions of Article 33.3 of the Regulation on the Defense of Competition, on April 1, 2011, the instruction phase was closed (folio 833) and notified to the interested parties (folios 834 to 851).  </w:t>
        <w:br/>
        <w:t xml:space="preserve">12. In accordance with the provisions of Article 50.4 of the LDC, from April 15 to 20, 2011, the Proposal for Resolution from the Directorate of Investigation was notified, containing the following legal qualification:  </w:t>
        <w:br/>
        <w:t xml:space="preserve">"Considering all of the above, this Directorate of Investigation believes that while, in general, collective agreements by their definition according to Royal Decree 1/1995, of March 24, may fall within the concept of collusive conduct under the LDC, in the case at hand, the special nature of Article 14 of the State Collective Agreement of Security Companies 2005-2008 determines that this article falls outside the scope of application of the LDC, with the competent body to resolve issues arising from its application being the social jurisdiction."  </w:t>
        <w:br/>
        <w:t xml:space="preserve">And proposes:  </w:t>
        <w:br/>
        <w:t xml:space="preserve">"Taking into account the proven facts described above and the assessments made, it is PROPOSED that the CNC Council declare that Article 14 of the State Collective Agreement of Security Companies 2005-2008 falls outside the scope of application of the LDC."  </w:t>
        <w:br/>
        <w:t xml:space="preserve">13. On May 5, 2011, a letter of allegations to the proposal for resolution was received from APROSER, FES, and ACAES in which they express their agreement with it.  </w:t>
        <w:br/>
        <w:t>14. On May 6, 2011, allegations to the proposal for resolution were received from BLINDADOS, reiterating their disagreement with the proposal from the Directorate of Investigation and urging that the evidence already requested in their letter of allegations to the PCH dated March 21, 2011, be taken.</w:t>
      </w:r>
    </w:p>
    <w:p>
      <w:r>
        <w:rPr>
          <w:b/>
        </w:rPr>
        <w:t>[Pages 4–6]</w:t>
      </w:r>
    </w:p>
    <w:p>
      <w:r>
        <w:t>15. On May 23, 2011, in compliance with the provisions of Article 50.5 of the LDC, the Directorate of Investigation forwarded the reference file to the Council along with the Proposal Report (folios 1082-1110).</w:t>
        <w:br/>
        <w:t>16. On December 23, 2011, the CNC received notification of the concentration operation consisting of the takeover of EFECTIVOX by the company LOOMIS (C/0416/11 LOOMIS/EFECTIVOX), which was authorized by the CNC on February 22, 2012.</w:t>
        <w:br/>
        <w:t>17. By virtue of Article 51.4 of the LDC, by Agreement of January 11, 2012, the Council of the CNC agreed to "Modify the legal qualification of the facts as it considers that Article 14 of the State Collective Agreement of Security Companies 2005-2008, regarding the transport and handling of funds, signed by the main business organizations in the sector, is susceptible to being qualified as a restrictive agreement of competition, contrary to Article 1 of the LDC" (folios 1111-1134). This requalification Agreement was notified to the parties and to the Directorate of Investigation, giving them a deadline to submit any legal arguments they deemed appropriate and suspending the processing deadline. It was also reminded that, in accordance with Article 51.1 of the LDC, they could submit to this Council the proposal for evidence they deemed appropriate. The deadline for allegations was extended by Agreement dated January 27, 2012 (folio 1188) at the request of ACAES, APROSER, and FES (folio 1174-1175). These parties accessed the file on January 25 and February 24, 2012 (folios 1173 and 1260).</w:t>
        <w:br/>
        <w:t>18. On January 26, 2012, in accordance with the provisions of Article 51.4 of the LDC, the Directorate of Investigation submitted its allegations to the Council's Agreement of January 11, 2012, stating that it does not oppose the qualification of Article 14 of the State Collective Agreement of Security Companies 2005-2008 as a violation of Article 1 LDC (folios 1180-1184).</w:t>
        <w:br/>
        <w:t>19. On February 7 and 14, 2012, the allegations from FES-UGT (folio 1199) and from ACAES, APROSER, and FES (folios 1200-1214) regarding the Council's Agreement of January 11, 2012 were received, respectively. Once the deadline for allegations had elapsed, by Agreement of February 16, the Council lifted the suspension of the maximum deadline for resolution (folio 1215).</w:t>
        <w:br/>
        <w:t>20. The Council has deliberated on the matter in different sessions and concluded its ruling in its meeting of March 7, 2012.</w:t>
        <w:br/>
        <w:t>21. Interested parties are:</w:t>
        <w:br/>
        <w:t>the Professional Association of Private Security Service Companies of Spain (APROSER),</w:t>
        <w:br/>
        <w:t>the Spanish Business Federation of Security (FES),</w:t>
        <w:br/>
        <w:t>the Association of Media, Professionals, and Security Companies (AMPES),</w:t>
        <w:br/>
        <w:t>the Catalan Association of Security Companies (ACAES),</w:t>
        <w:br/>
        <w:t>the State Federation of Services of the General Union of Workers (FES-UGT),</w:t>
        <w:br/>
        <w:t>the Federation of Private Security Workers of the Workers' Trade Union (FTSP-USO).</w:t>
        <w:br/>
        <w:t>EFECTIVOX, S.A.</w:t>
      </w:r>
    </w:p>
    <w:p>
      <w:r>
        <w:t>PROVEN FACTS</w:t>
      </w:r>
    </w:p>
    <w:p>
      <w:r>
        <w:t>THE PARTIES</w:t>
      </w:r>
    </w:p>
    <w:p>
      <w:r>
        <w:t>1. Blindados Grupo Norte, S.A. (currently EFECTIVOX, S.A.)</w:t>
        <w:br/>
        <w:t>BLINDADOS is a company of Spanish nationality established in June 1996. The main activities of BLINDADOS are twofold: surveillance and the transport of funds and cash handling. The first refers to the protection of people, property, and/or establishments by means of security guards authorized for this purpose by the Ministry of the Interior. The second includes, in addition to transport, the custody, classification, and deposit of money and securities (folio 2). BLINDADOS claims to belong to the business association AESPI (Association of Comprehensive Private Security Companies) (folio 2). For their part, the defendants indicate that BLINDADOS is also associated with FES and AMPES, participants in the Negotiating Commission of the State Collective Agreement of Security Companies 2005-2008 (folio 227).</w:t>
      </w:r>
    </w:p>
    <w:p>
      <w:r>
        <w:t>During 2004, the main banks of Castilla y León and Grupo Norte acquired the company Blindados del Norte, whose corporate name was changed to Blindados Grupo Norte. In November 2010, Blindados Grupo Norte, S.A. was renamed EFECTIVOX, S.A.</w:t>
        <w:br/>
        <w:t>2. Professional Association of Private Security Service Companies of Spain (APROSER)</w:t>
        <w:br/>
        <w:t>APROSER is composed of 13 private security companies that provide their services in the segments of surveillance and transport of funds (folios 4 and 221).</w:t>
      </w:r>
    </w:p>
    <w:p>
      <w:r>
        <w:t>Of these 13 companies, only PROSEGUR, LOOMIS, and TRABLISA provide the transport and handling of funds service (folio 4). In particular, the companies PROSEGUR and LOOMIS hold approximately 90% of the market for transport of funds and counting (folio 5 and C/0416/11 LOOMIS / EFECTIVOX).</w:t>
      </w:r>
    </w:p>
    <w:p>
      <w:r>
        <w:t>The remaining companies in this association are dedicated to the surveillance and protection of property and persons and services related to surveillance and alarm centers, but not to the transport and handling of funds (folio 5). According to Article 5 of the Statutes of APROSER, its primary purposes are, among others, to represent and promote the economic and professional interests of its members; negotiate collective labor agreements within its scope and carry out any activities necessary or convenient for the fulfillment of its purposes and for the defense of the legitimate interests of its members (folios 221 and 222).</w:t>
        <w:br/>
        <w:t>5</w:t>
      </w:r>
    </w:p>
    <w:p>
      <w:r>
        <w:t>According to an executive summary from 2007 prepared by Sivermagen, S.L. on "Figures and Data of the Private Security Sector in Spain" from APROSER, there are 18 companies associated with APROSER, representing more than 80% of the total turnover of the sector (folios 4 and 89).</w:t>
        <w:br/>
        <w:t>3. Spanish Business Federation of Security (FES)</w:t>
        <w:br/>
        <w:t>FES is composed of 130 private security companies. All are SMEs, distributed throughout the national territory, and among them cover all activities of private security (surveillance, installation and maintenance, custody and transport of funds, personal protection, advice and planning, alarm centers) (folio 221).</w:t>
      </w:r>
    </w:p>
    <w:p>
      <w:r>
        <w:t>According to Article 6 of the Statutes of FES, its main purposes are, among others, the representation, defense, and promotion of the economic, social, legal, professional, and cultural interests of Spanish private security companies; the pursuit of intrusiveness and unlawful or unfair competition in private security activity; the promotion of the proper exercise of private security activity in its various aspects; the exercise of any actions necessary, including judicial actions, for the defense of the interests of its affiliates; the coordination of the supply needs of its members in cases agreed upon, being able to study the quality and performance of products or services and make the appropriate recommendations and agreements (folios 222 and 223).</w:t>
        <w:br/>
        <w:t>4. Association of Media, Professionals, and Security Companies (AMPES)</w:t>
        <w:br/>
        <w:t>AMPES represents 62 security companies that provide their services in the activities of surveillance and protection of persons, installation and maintenance of security systems, and alarm receiving centers. Its scope of action is national (folio 221).</w:t>
      </w:r>
    </w:p>
    <w:p>
      <w:r>
        <w:t>According to Article 6 of its Social Statutes, the purposes of AMPES include, among others, the representation, defense, and promotion of the economic, social, professional, and cultural interests of the associated private security companies; the promotion of the proper exercise of security activity; negotiating, within its legal and representative capacity, collective labor agreements within its scope of action; the exercise of any actions necessary before any administrative or judicial body, for the safeguarding and defense of the image and interests of its affiliates and the association itself, as well as the pursuit and denunciation of intrusiveness and unfair and unlawful competition in the development of private security activities and acting close to the various Public Administrations and political bodies regarding the general legislation or regulation of the sector that affects or may affect its interests (folios 223 to 225).</w:t>
      </w:r>
    </w:p>
    <w:p>
      <w:r>
        <w:rPr>
          <w:b/>
        </w:rPr>
        <w:t>[Pages 7–9]</w:t>
      </w:r>
    </w:p>
    <w:p>
      <w:r>
        <w:t>prestación de servicios, la nueva empresa adjudicataria asumirá la obligación de subrogar a los trabajadores que venían prestando sus servicios en la empresa saliente, en los términos establecidos en la normativa vigente.</w:t>
      </w:r>
    </w:p>
    <w:p>
      <w:r>
        <w:t>B) Transporte de Fondos:</w:t>
        <w:br/>
        <w:t>En el caso de que una empresa cese en la adjudicación de los servicios de transporte de fondos, la nueva empresa adjudicataria asumirá la obligación de subrogar a los trabajadores que venían prestando sus servicios en la empresa saliente, en los términos establecidos en la normativa vigente, garantizando en todo caso el mantenimiento de las condiciones laborales y salariales de los trabajadores subrogados.</w:t>
      </w:r>
    </w:p>
    <w:p>
      <w:r>
        <w:t>15. La subrogación de servicios se llevará a cabo en los términos establecidos en la normativa vigente, garantizando en todo momento los derechos laborales de los trabajadores afectados, así como la continuidad de los servicios prestados. La nueva empresa adjudicataria deberá respetar los convenios colectivos aplicables y las condiciones laborales existentes en la empresa saliente.</w:t>
      </w:r>
    </w:p>
    <w:p>
      <w:r>
        <w:t>16. En caso de incumplimiento de las obligaciones de subrogación, la empresa adjudicataria será responsable de las consecuencias derivadas de dicho incumplimiento, incluyendo la obligación de indemnizar a los trabajadores afectados por la falta de subrogación.</w:t>
      </w:r>
    </w:p>
    <w:p>
      <w:r>
        <w:t>17. La cláusula de subrogación de servicios se aplicará a todos los contratos de prestación de servicios en el ámbito de la seguridad privada, garantizando así la protección de los derechos laborales de los trabajadores del sector.</w:t>
      </w:r>
    </w:p>
    <w:p>
      <w:r>
        <w:rPr>
          <w:b/>
        </w:rPr>
        <w:t>[Pages 10–12]</w:t>
      </w:r>
    </w:p>
    <w:p>
      <w:r>
        <w:t>of services provided during the seven months immediately preceding the date of subrogation by a specific factor, depending on the population size of the area where the service is provided.</w:t>
      </w:r>
    </w:p>
    <w:p>
      <w:r>
        <w:t>In summary, the new awardee company is obligated to take over the contracts of the workers assigned to the previous contract, provided they meet the minimum seniority requirement. The process for determining the number of workers to be subrogated is outlined in detail, including specific calculations based on the number of services rendered and the population size. The obligations of both the outgoing and incoming companies regarding notification, documentation, and payment responsibilities are clearly defined, ensuring that workers' rights are maintained throughout the transition. Additionally, provisions are made for the subrogation of worker representatives, ensuring their rights are also protected during the transfer of services.</w:t>
      </w:r>
    </w:p>
    <w:p>
      <w:r>
        <w:rPr>
          <w:b/>
        </w:rPr>
        <w:t>[Pages 13–15]</w:t>
      </w:r>
    </w:p>
    <w:p>
      <w:r>
        <w:t>monthly average of stops made in the last seven months divided by the number of stops that can be made in one hour of work depending on the environment in which we find ourselves. This yields the total volume of "lost" activity hours of a crew, that is, the hours spent by a crew on the service subject to subrogation. Dividing this amount by the monthly working hours regulated by the Collective Agreement (art. 41) allows us to obtain the number of crews affected by a possible subrogation. Given that the regulations impose that each transport operation of funds must necessarily be carried out using an armored vehicle that has 3 workers (art. 33.1 of the Private Security Regulation), the volume of travel hours of each armored vehicle must be multiplied by 3, the minimum crew of each vehicle.</w:t>
      </w:r>
    </w:p>
    <w:p>
      <w:r>
        <w:t xml:space="preserve">The representatives of the business associations provide the following example (folio 233): </w:t>
        <w:br/>
        <w:t>“For example, in a service that has an average of 1,966 stops/month over the last seven months, in a city of more than 200,000 inhabitants, to calculate how many workers should be subrogated, the following calculations must be made: a) divide 1,944 by 6 to calculate the number of service hours that are no longer provided. The result of this calculation will be 324 lost hours; b) given that the monthly working hours at this time are 162 hours, dividing 324 by 162 gives us 2, which represents the number of crews to be subrogated; c) since by law each crew has 3 workers, the number of workers to be subrogated would be 6.”</w:t>
      </w:r>
    </w:p>
    <w:p>
      <w:r>
        <w:t>16. From the reading of the complaint and the responses of the parties to the requests, it is deduced that, unlike other security services, in the case of cash transport, the workers are not assigned to a workplace. They perform routes collecting or delivering funds, usually serving several clients. This has led to the activity of cash handling and transport in terms of subrogation deviating from the general clause and has given rise to the peculiar mechanism described.</w:t>
      </w:r>
    </w:p>
    <w:p>
      <w:r>
        <w:t>17. The 2005-2008 Agreement did not determine what the selection criteria for the workers to be subrogated should be. In particular, clause 14 did not require that the workers to be subrogated were those who had been providing the service, nor that they had similar characteristics, for example, in terms of employment situation, seniority, or assigned shift.</w:t>
      </w:r>
    </w:p>
    <w:p>
      <w:r>
        <w:t>18. It is recorded in the file that for the negotiation of the new agreement, a new negotiating table was convened with the following composition: APROSER 7 positions, FES 3 positions; AESPI 2 positions; AMPES 1 position; ACAES 1 position and AES 1 position (folios 267, 293-295). The distribution of positions in the Negotiating Commission by the union representation was as follows: UGT 6 positions, CC.00. 4 positions, USO 3 positions, ELA 1 position and CIG 1 position. In the meeting of October 1, 2009, the business organizations, including AESPI, presented a unitary offer of alternative wording to section B) of article 14 that contemplated a) that the workers subject to subrogation be assigned to the shift in which they provide their services and b) an increase in the coefficient for calculating the workers to be subrogated from €1,600 to €2,000 (folio 240-241).</w:t>
      </w:r>
    </w:p>
    <w:p>
      <w:r>
        <w:t>UGT comments that the negotiation failed (folio 320) and that therefore their proposals would revert to those initially raised: that in the event of subrogation, it should proceed first with voluntary personnel and if there are none, it should proceed in reverse order of seniority (the least senior) as is done in other cases (art. 15).</w:t>
      </w:r>
    </w:p>
    <w:p>
      <w:r>
        <w:t>19. Finally, on November 15, 2010, the State Collective Agreement of Security Companies 2009-2012 was signed on one side by the business associations APROSER, FES, AMPES, ACAES, and AES, representing the companies in the sector, and on the other side by the union organizations UGT and USO, representing the affected labor collective. By Resolution of January 28, 2011, from the General Directorate of Labor, the state collective agreement of security companies was registered and published (BOE of February 16, 2011). The new Agreement in its clause 14 states:</w:t>
      </w:r>
    </w:p>
    <w:p>
      <w:r>
        <w:t xml:space="preserve">B) Cash Transport Services (Cash handling, ATMs, transport, and distribution): </w:t>
        <w:br/>
        <w:t>The outgoing company will determine the number of workers subject to subrogation in each of the different categories based on what is established in letters B.1 and B.2 of this article.</w:t>
      </w:r>
    </w:p>
    <w:p>
      <w:r>
        <w:t>In the years 2009 and 2010, for the determination of the workers to be subrogated, it will be based on what is agreed upon by the representatives of the workers and the Company Management. In the absence of an agreement, a draw will be held by categories, in the presence of the representatives of the workers.</w:t>
      </w:r>
    </w:p>
    <w:p>
      <w:r>
        <w:t>Starting from 2011, for the determination of the workers to be subrogated, priority will be given to those who volunteer. If there are not enough volunteers, a draw will be held by categories and work shifts, in the presence of the legal representation of the workers and the workers. The representatives of the workers will certify in a joint record with the Company Management the result of the draw.</w:t>
      </w:r>
    </w:p>
    <w:p>
      <w:r>
        <w:t xml:space="preserve">(…) </w:t>
        <w:br/>
        <w:t xml:space="preserve">B.1) Subrogation of Cash Transport and Distribution. </w:t>
        <w:br/>
        <w:t xml:space="preserve">B.1.3 Common rules for B.1.1 and B.1.2: In both cases: </w:t>
        <w:br/>
        <w:t xml:space="preserve">a) The resulting amount, which is the monthly working hours to be subrogated, will be divided by the result of dividing the annual working hours by 11, with the quotient of this operation being the number of workers that must be subrogated, multiplied by the crew of the armored vehicle. </w:t>
        <w:br/>
        <w:t>The quotient will be rounded up to the next whole number when it contains a decimal equal to or greater than five tenths.</w:t>
      </w:r>
    </w:p>
    <w:p>
      <w:r>
        <w:t>However, if once the previous rule is applied, the resulting figure is less than 0.5 and, consequently, no subrogation of personnel is to be made, if the new awardee company obtains during the following twelve months the award of services that the same outgoing company had, this previous figure will, in any case, be added to the new resulting figure for the purposes of personnel subrogation.</w:t>
      </w:r>
    </w:p>
    <w:p>
      <w:r>
        <w:t>b) Starting from the year 2011, the workers subject to subrogation must be assigned to the shift in which the services that motivate the subrogation are provided, unless they are workers without a fixed shift or who have volunteered for subrogation. When the subrogation is based on the accumulation of several services, the shift to be considered will be that of the service with the highest number of stops.</w:t>
      </w:r>
    </w:p>
    <w:p>
      <w:r>
        <w:t>c) Only complete crews may be subrogated without prejudice to what is established in section C.1.4 of this article.</w:t>
      </w:r>
    </w:p>
    <w:p>
      <w:r>
        <w:t>d) In the event that the outgoing company loses all services, the awardee company must retain all personnel. In the case that there are several awardee companies, they must retain all personnel in accordance with the assigned percentages.</w:t>
      </w:r>
    </w:p>
    <w:p>
      <w:r>
        <w:t xml:space="preserve">B.2) Subrogation of Handling Workers: </w:t>
        <w:br/>
        <w:t>The company that loses a cash handling contract (Counters-Payers) in favor of another will be obliged to subrogate the number of counters-payers resulting from dividing the amount of the average monthly billing lost over the last seven months by €1,700 during the years 2009 and 2010 and by €2,500 starting from 2011. This amount will be updated annually based on labor costs and improvements in technology and machinery used in the activity.</w:t>
      </w:r>
    </w:p>
    <w:p>
      <w:r>
        <w:t>However, if once the previous rule is applied, the resulting figure is less than 0.5 and, consequently, no subrogation of personnel is to be made, if the new awardee company obtains during the following twelve months the award of services that the same outgoing company had, this previous figure will, in any case, be added to the new resulting figure for the purposes of personnel subrogation.</w:t>
      </w:r>
    </w:p>
    <w:p>
      <w:r>
        <w:t xml:space="preserve">LEGAL GROUNDS </w:t>
        <w:br/>
        <w:t xml:space="preserve">FIRST. Object of the present procedure </w:t>
        <w:br/>
        <w:t>According to the Directorate of Investigation, the object of this file is to determine whether article 14 of the State Collective Agreement of Security Companies 2005-2008, which regulates the subrogation of services regarding Cash Transport, is restrictive of competition, in particular, whether it constitutes a violation of article 1.1 of the LDC.</w:t>
      </w:r>
    </w:p>
    <w:p>
      <w:r>
        <w:rPr>
          <w:b/>
        </w:rPr>
        <w:t>[Pages 16–18]</w:t>
      </w:r>
    </w:p>
    <w:p>
      <w:r>
        <w:t>As stated in AH 15 of this Resolution, in the Proposal Report submitted to the Council, the Directorate of Investigation understood that, despite falling within the scope of Article 1.1 of the LDC, “… Article 14, by regulating the figure of subrogation and aiming for employment stability, protects the public interest. The achievement of this public interest justifies the establishment of rights and obligations for both the company that ceases its activity and the incoming company, which, being framed within the figure of subrogation, an essential element for collective bargaining, falls outside the scope of application of the LDC.”</w:t>
      </w:r>
    </w:p>
    <w:p>
      <w:r>
        <w:t>Hence, it proposed that “the Council of the CNC declare that Article 14 of the State Collective Agreement of Security Companies 2005-2008 is outside the scope of application of the LDC.”</w:t>
      </w:r>
    </w:p>
    <w:p>
      <w:r>
        <w:t>In its Report of January 26, 2012, issued in accordance with the provisions of Article 51.4 of the LDC, the Directorate of Investigation states the following: “In relation to the reference file, this Directorate of Investigation proposed to the Council of the CNC that it declare that Article 14 of the Agreement was outside the scope of application of the LDC because, although, in general, collective agreements, by their definition according to Royal Decree 1/1995, of March 24, may fall within the concept of collusive conduct of the LDC, however, the special nature of that article, whose objective is to guarantee employment stability, would justify its exemption from the application of Article 1.1 LDC, with the social jurisdiction being the competent body to resolve issues arising from its application.</w:t>
      </w:r>
    </w:p>
    <w:p>
      <w:r>
        <w:t>Notwithstanding the above, should it be considered that Article 14 of the Agreement falls within the scope of application of the LDC, this Directorate of Investigation agrees with the Council of the CNC that it is susceptible to being classified as a prohibited agreement under Article 1 LDC, since the criteria for determining the number and identification of the workers subject to subrogation may disincentivize the entry of competitors into the activities of transport and handling of funds, as it involves the assumption of excessively burdensome and unjustified labor costs.”</w:t>
      </w:r>
    </w:p>
    <w:p>
      <w:r>
        <w:t>In particular, among the problems posed by Article 14 of the Agreement, the Directorate of Investigation highlights the following:</w:t>
      </w:r>
    </w:p>
    <w:p>
      <w:r>
        <w:t>1. Number of workers subject to subrogation: It argues that the parameters used to calculate the number of subrogations are not based on realistic criteria. It also criticizes the “rounding” system for penalizing the awardee company. It considers that the obligation to subrogate complete crews imposes an unjustified labor burden on the ceding company. It concludes: “In summary, this Directorate of Investigation considers that the criteria established by the Agreement to determine the number of workers subject to subrogation are not objective and tend to overstate the number of workers subject to subrogation that the ceding company would have to take on, with the consequent cost and, therefore, loss of competitiveness that this implies.”</w:t>
      </w:r>
    </w:p>
    <w:p>
      <w:r>
        <w:t>2. Nature of the workers subject to subrogation: The Directorate of Investigation considers that the selection of workers subject to subrogation is not based on objective criteria and that, regardless of what the criteria for which workers will be subrogated are, potential ceding companies would need to know in advance how many and what the cost of the workers being subrogated with the service is in order to assess whether it is profitable to submit a bid.</w:t>
      </w:r>
    </w:p>
    <w:p>
      <w:r>
        <w:t>3. Regarding the section related to the subrogation of Accountants-Payers, the Agreement does not establish the criteria for determining the specific accountants-payers to be subrogated.</w:t>
      </w:r>
    </w:p>
    <w:p>
      <w:r>
        <w:t>It therefore concludes that “... the application of the provisions of the Agreement regarding the nature of the workers subject to subrogation could result in the ceding company transferring inefficient or inadequate workers, generating unjustified labor costs and, therefore, a loss of competitiveness for the ceding company.”</w:t>
      </w:r>
    </w:p>
    <w:p>
      <w:r>
        <w:t>4. Other restrictions: The Directorate of Investigation points out other ambiguities that hinder a potential ceding company's ability to make an adequate offer due to the discretion they imply and the uncertainty they generate. In particular, the fact that the ceding company "Shall have the authority to retain all, or part, of the workers affected by the subrogation" (section C.1.4 of the Agreement); or the fact that it remains unspecified when the representatives of the workers can exercise the right to choose between remaining in their company or being subrogated to the awardee company (section D of Article 14).</w:t>
      </w:r>
    </w:p>
    <w:p>
      <w:r>
        <w:t>All of this, in the opinion of the Directorate of Investigation, hinders access to the cash handling activity for new operators and limits their ability to compete.</w:t>
      </w:r>
    </w:p>
    <w:p>
      <w:r>
        <w:t>SECOND. Allegations of the interested parties</w:t>
      </w:r>
    </w:p>
    <w:p>
      <w:r>
        <w:t>FeS-UGT</w:t>
      </w:r>
    </w:p>
    <w:p>
      <w:r>
        <w:t>In its letter of February 7, 2012, FeS-UGT reaffirms its previous allegations and requests that they be considered reproduced. In such allegations, it expressed its agreement with the proposed Resolution made by the Directorate of Investigation in application of Article 50.4.</w:t>
      </w:r>
    </w:p>
    <w:p>
      <w:r>
        <w:t>Allegations of APROSER, ACAES, and FES.</w:t>
      </w:r>
    </w:p>
    <w:p>
      <w:r>
        <w:t>In their letter of February 14, 2012, the aforementioned Associations make the allegations summarized below:</w:t>
      </w:r>
    </w:p>
    <w:p>
      <w:r>
        <w:t>1. The competition defense regulations do not apply to Article 14 of the state collective agreement.</w:t>
      </w:r>
    </w:p>
    <w:p>
      <w:r>
        <w:t>To the extent that Article 14 of the Collective Agreement regulates exclusively labor matters, with an unequivocal and exclusive purpose linked to the protection of employment stability, any controversy regarding its legality — including possible harm to third parties, if applicable — must be submitted to the social courts, and the prohibitions of Competition Law will not apply to it.</w:t>
      </w:r>
    </w:p>
    <w:p>
      <w:r>
        <w:t>In this sense, the cited Business Associations consider that the applicability of Article 14 of the Collective Agreement has been questioned in social jurisdiction on multiple occasions, and in all of them, the courts have upheld its full legality in accordance with the requirements of the Workers' Statute and its full material legality. In this regard, among others, the company Seguridad Integral Canaria has already questioned the subrogation system provided for in the Collective Agreement both before the Superior Court of Justice of the Canary Islands (Judgment dated September 19, 2007, JUR \2007\363654) and before the Supreme Court (Judgment of January 27, 2009, RJ\2009\1439), with both courts ruling in favor of the legality of the disputed norm. They point out that the doctrine of the Supreme Court regarding Article 14 of the Collective Agreement is settled and has been extensively cited and applied, always maintaining the full legality of said article both formally and materially, among others by the Superior Courts of Justice of Madrid (Judgment of April 15, 2010), Asturias (Judgment of July 16, 2010, AS\2010\1774), and Andalusia (Judgment of September 15, 2011, JUR \2011\381183). They consider that it is not appropriate to reopen the issue in clear contradiction with what has already been judged in a subsequent instance, much less by an administrative body such as the CNC.</w:t>
      </w:r>
    </w:p>
    <w:p>
      <w:r>
        <w:t>They consider that the national precedents mentioned by the Council in its Agreement of January 11, 2012, to justify the requalification are of a generic nature and, in any case, prior to the aforementioned Supreme Court Judgment.</w:t>
      </w:r>
    </w:p>
    <w:p>
      <w:r>
        <w:t>They recall that Competition Law is not intended to protect a competitor, but to guarantee the competitive process. The mechanism provided for in Article 14 of the Collective Agreement applies to all security companies in Spain, sometimes as subrogating entities, sometimes as subrogated, and they consider that no company has faced the impossibility of continuing to operate normally, so there is no public interest to protect.</w:t>
      </w:r>
    </w:p>
    <w:p>
      <w:r>
        <w:t>2. Lack of precision in the charges made in the requalification agreement as a basis for a sanctioning resolution.</w:t>
      </w:r>
    </w:p>
    <w:p>
      <w:r>
        <w:rPr>
          <w:b/>
        </w:rPr>
        <w:t>[Pages 19–21]</w:t>
      </w:r>
    </w:p>
    <w:p>
      <w:r>
        <w:t>Both the PCH and the Proposal Report signed by the Directorate of Investigation do not mention any charges nor propose sanctions. The Agreement is the first factual document of charges against the associations. However, according to the cited Business Associations, the Requalification Agreement lacks clarity and specificity regarding the charges made. Specifically, they state that "considering that the Agreement represents, like any requalification agreement, a radical modification in the processing of the sanctioning file, this representation misses, on one hand, greater evidentiary support and, on the other, greater precision regarding the alleged violations of the LDC that the Council attributes to our clients. It is especially striking the Council's brevity in qualifying certain behaviors as contrary to Article 1 of the LDC since, as stated in the previous allegation, the DI is of the opinion that Article 14 of the Collective Agreement is not subject to the rules of competition." Article 14 of the Collective Agreement is not suitable for restricting or distorting competition, as its wording does not imply an obligation or a recommendation for the companies subject to it to engage in anti-competitive conduct. Therefore, it cannot be accepted that a specific interpretation by companies in the sector turns the provision into a restrictive one. In that case, it will be the actions of the companies in the sector – and not the Associations – that may generate anti-competitive effects and not the Collective Agreement itself. Moreover, the hypothetical results or potential harmful effects on competition pointed out by the Agreement have not been substantiated in the opinion of the Associations.</w:t>
      </w:r>
    </w:p>
    <w:p>
      <w:r>
        <w:t>3. Subsidiarily, Article 14 of the state collective agreement is covered by the legal exemption provided in Article 1.3 of the LDC. In any case, the alleged restrictions are objectively justified, necessary, and proportionate for the maintenance of employment, since other systems would generate greater inefficiencies and their benefits far exceed the hypothetical negative effects on competition: They interpret that the Council considers that the lack of assignment of workers to a workplace is a determining factor of the anti-competitive nature of clause 14 of the Agreement. They explain that the lack of assignment to the workplace is the confirmation of a circumstance inherent to the transport and handling of funds service. It is not an issue in itself capable of preventing or generating a competitive restriction. They believe that it cannot be accepted that the absence of assignment to the workplace determines the prior ignorance by the subrogated company of the labor cost it will assume. That ex ante ignorance always occurs, with or without assignment of workers to workplaces. The rigidity of the assignment mechanism to workplaces would cause a greater oversizing of the number of workers to be subrogated than what Clause 14 implies. This is because the assignment forces always rounding up the number of crews to be subrogated compared to the rounding system of the Agreement. Therefore, the Council's assessment that the assignment would improve the subrogation system seems unfounded.</w:t>
      </w:r>
    </w:p>
    <w:p>
      <w:r>
        <w:t>The reading made by the Council of the retroactive addition mechanism of decimals below 0.5 in the case of chained subrogations is considered incorrect. It is an anti-fraud clause, very similar to those existing in other sectors and also in other branches of law. Furthermore, it objectively fulfills the purpose of protecting employment, which is the guiding principle that supports all collective agreements. It cannot be stated, moreover, that this mechanism goes beyond what is necessary to achieve that purpose, as it should be emphasized that decimals below 0.5 are only added to subsequent subrogations when the resulting quotient from the application of the rules of Article 14 of the Collective Agreement is less than 1. The restriction, therefore, is much less than what could objectively be justified.</w:t>
      </w:r>
    </w:p>
    <w:p>
      <w:r>
        <w:t>Regarding the payers-counters, the base amount for calculating the number of employees to be subrogated must be calculated with reference to some objective data. Since the Collective Agreement was signed with a validity for the period 2005-2008, the negotiating parties used statistical data from 2004 as the calculation base. And it adds: "It is therefore unnecessary to explain which of the negotiating parties it is convenient to maintain the stipulated figure as the base for the calculation of subrogations in its most reduced expression, thus ensuring that, in the event of dismissal after the transfer of a client, both the transferring company and the assignee are responsible for the dismissal for a greater number of workers."</w:t>
      </w:r>
    </w:p>
    <w:p>
      <w:r>
        <w:t>It is also defended by the business associations that the calculation of the number of workers should take into account the income lost by the transferor and not what the transferee will gain. They consider it logical that the company that will be affected by the loss of income passes those labor costs to the one obtaining the new contract in a manner consistent with the maintenance of employment.</w:t>
      </w:r>
    </w:p>
    <w:p>
      <w:r>
        <w:t>4. In any case, the state collective agreement 2009-2012 resolves the hypothetical competition problems identified by the CNC. This New Agreement incorporates the commitments that the parties offered to the Directorate of Investigation for a possible conventional termination, so they consider that the supposed competition problems have been resolved.</w:t>
      </w:r>
    </w:p>
    <w:p>
      <w:r>
        <w:t>5. Inappropriateness of the CNC Council imposing fines in the present sanctioning file. They consider that there are a series of circumstances that make it impossible to impose any fine. They believe that there has been a total absence of charges – formal and material – of responsibility to the Associations for facts that could be, in their case, restrictive of competition. The DI has not made such charges and the Council in its Agreement admits that Article 14 implies a large margin of discretion that allows companies to interpret the clause excessively. Therefore, they deduce that the Agreement does not impose or recommend conduct that could be restrictive by object or effect nor, consequently, can it be attributed to the Associations.</w:t>
      </w:r>
    </w:p>
    <w:p>
      <w:r>
        <w:t>They appeal to the fact that a conventional termination was opened to justify that the associations should not be sanctioned. They argue that they were in the legitimate confidence that they would not be sanctioned since the commitments they offered were included in the new collective agreement ratified by the General Directorate of Labor.</w:t>
      </w:r>
    </w:p>
    <w:p>
      <w:r>
        <w:t>6. As a general matter of subsidiarity, the assessment of a possible infringement of Article 1 of the LDC determines the necessary continuation of the conventional termination phase. They request the Council that, prior to any declaration of infringement and the imposition of a hypothetical sanction, it orders the continuation of the conventional termination phase.</w:t>
      </w:r>
    </w:p>
    <w:p>
      <w:r>
        <w:t>Blindados del Norte (EFECTIVOX) In the various written allegations submitted in the processing of the file before the Directorate of Investigation, the complainant repeatedly argued that the analyzed subrogation clause and the application thereof by the companies PROSEGUR and LOOMIS (which concentrate more than 90% of the market offer) should be considered contrary to competition regulations. EFECTIVOX argued that this subrogation clause constituted a barrier to entry into the transport and handling of funds market that prevented it from making the contracts it managed to enter into with new clients profitable. In this regard, the complainant provided in its writings various information that supported its claim. As mentioned in AH 16, on December 23, 2011, a notification of the concentration operation consisting of the takeover of EFFECTIVOX by the company LOOMIS (C/0416/11 LOOMIS/EFECTIVOX) was received by the CNC, which has been authorized by the CNC on February 22, 2012. EFECTIVOX has not made allegations against the Council's requalification agreement of January 11, 2012.</w:t>
      </w:r>
    </w:p>
    <w:p>
      <w:r>
        <w:t>THIRD. Application of competition regulations to collective agreements. Article 1 of Law 15/2007 establishes the following in its first section:</w:t>
      </w:r>
    </w:p>
    <w:p>
      <w:r>
        <w:rPr>
          <w:b/>
        </w:rPr>
        <w:t>[Pages 22–24]</w:t>
      </w:r>
    </w:p>
    <w:p>
      <w:r>
        <w:t>“Any agreement, decision, or collective recommendation, or concerted or consciously parallel practice, that has the object, produces, or may produce the effect of preventing, restricting, or distorting competition in all or part of the national market is prohibited.”</w:t>
        <w:br/>
        <w:t>Collective agreements imply a concert of wills between at least two independent economic operators, which means that, in principle, they are susceptible to falling within the scope of the prohibition of Article 1.1.</w:t>
        <w:br/>
        <w:t>However, Article 4 of Law 15/2007 establishes a legal exemption for those behaviors that are covered by a norm with the rank of Law:</w:t>
        <w:br/>
        <w:t>1. Without prejudice to the eventual application of community provisions regarding competition defense, the prohibitions of this chapter shall not apply to behaviors resulting from the application of a law.</w:t>
        <w:br/>
        <w:t>2. The prohibitions of this chapter shall apply to situations of restriction of competition that arise from the exercise of other administrative powers or are caused by the actions of public authorities or public companies without such legal support.</w:t>
        <w:br/>
        <w:t>This legal exemption contained in Article 4 recognizes that the achievement of other objectives of general interest may justify certain behaviors that violate Articles 1, 2, and 3 of the LDC. In those cases, the behavior, even if it is a typical behavior, will not be considered unlawful, as long as the norm that justifies and supports it has the rank of Law.</w:t>
        <w:br/>
        <w:t>However, according to the decision-making practice of national and community authorities and the jurisprudence of the Court of Justice, these exceptions must be interpreted strictly (RTDC of March 4, 1999, Expte. r 335/98; RCNC April 14, 2009, Expte. 639/08 College of Pharmacists of Castilla-La Mancha, FD 5th). This means that the restriction of competition must be clearly provided for by the legal provision, as an instrument in service of the public interest that underpins it.</w:t>
        <w:br/>
        <w:t>Royal Legislative Decree 1/1995, of March 24, which approves the consolidated text of the Workers' Statute (hereinafter, the Workers' Statute), in relation to the nature and effects of collective agreements, establishes in its Article 82.2 that “through collective agreements, and within their corresponding scope, workers and employers regulate working and productivity conditions; they may also regulate labor peace through the obligations agreed upon.” The content of the Agreements is delineated in Article 85.1 of the Workers' Statute: “Within respect for the laws, collective agreements may regulate matters of an economic, labor, union nature, and, in general, any other matters affecting employment conditions and the scope of relations between workers and their representative organizations with the employer and business associations.” (Emphasis added).</w:t>
        <w:br/>
        <w:t>Therefore, the Workers' Statute supports the adoption of agreements between economic agents regarding working conditions. But this does not mean that every pact contained in a collective agreement should be considered legally supported. As the Court of Justice of the European Union (CJEU) has established, “certain restrictive effects on competition are inherent to collective bargaining” such that “the objectives of social policy… would be seriously compromised if social partners were subject to competition defense rules.” From this, the CJEU deduces that “It is necessary, therefore, to examine whether the nature and object of the contested agreement (…) justify its exclusion from the scope of application of Article 85, paragraph 1, of the Treaty” (case C/67/96, Albany Int., pp. 59-61).</w:t>
        <w:br/>
        <w:t>In this sense, as the Council of the CNC has already had the opportunity to point out: “(...) we can conclude, following community jurisprudence, that, in principle, collective agreements made in good faith between employers and workers on normal issues inherent to collective bargaining, such as wages or certain working conditions, which do not directly affect third parties or other markets, should enjoy automatic immunity from examination under competition defense rules.</w:t>
        <w:br/>
        <w:t>But when the agreement or convention goes beyond those areas, competition authorities, in accordance with the doctrine of the Albany Judgment, must analyze the nature and object of the same before deciding whether it falls under competition rules or is excluded from them. And in that analysis, special attention must be paid not only to the matters addressed by the agreement but also, and above all, to whether it establishes obligations on third parties or affects other markets in a manner not justified by the objective of collective bargaining.” (Expte. 2805/07, Stevedoring Companies, FD 7th, emphasis added).</w:t>
        <w:br/>
        <w:t>Collective bargaining is, therefore, a basic instrument of the labor market and a pillar of social policy, the legality of which is primarily the responsibility of labor authorities and social jurisdiction. Clear examples of this are the judgments cited by the Directorate of Investigation and the Business Associations. However, this protection does not imply that the content of a collective agreement is, by itself, exempt from the application of competition defense rules. Competition law may apply to it insofar as it regulates matters that are not solely labor-related and that restrict competition in other markets in a manner not justified by the objective of collective bargaining. The application of competition regulations may affect agreements that, under the appearance of a typically labor institution, by their object or effect may affect competition in markets other than the labor market, without legal support and without the objective of collective bargaining justifying it.</w:t>
        <w:br/>
        <w:t>Within Section II of the Workers' Statute, referring to guarantees in the event of a change of employer, Article 44 regulates such guarantees for workers in cases of business succession. Said Article 44, reformed by Law 12/2001, of July 9, on urgent measures for labor market reform to increase employment and improve its quality in light of community directives and interpretation of CJEU jurisprudence, establishes that the new employer assumes the labor and Social Security rights and obligations of the previous one, conditioned on the subjective requirement of change of ownership of the company, workplace, or autonomous productive unit.</w:t>
        <w:br/>
        <w:t>The mechanisms of subrogation have been extended to other cases, in particular, to those cases where one company succeeds another in an administrative concession as provided in the corresponding specifications, as well as in the so-called cases of “conventional business subrogation.” That is, when expressly provided for by the corresponding collective agreement, even if there is no transfer of assets between companies (Judgment of the High Court of Justice of Madrid of April 15, AS 2010\1110).</w:t>
        <w:br/>
        <w:t>In short, the obligation to subrogate workers in the event of a change in the ownership of a contract is not expressly provided for in the Workers' Statute, although there are various sectors where it is common for collective agreements to stipulate this type of mechanism.</w:t>
        <w:br/>
        <w:t>The clauses for the subrogation of workers agreed upon through collective bargaining and reflected in a sectoral collective agreement are nothing more than an agreement between competing companies regarding a productive input. Based on this agreement, the company that, by virtue of competitive play, takes a contract from another assumes the workers linked to it and the labor obligations and costs that this entails.</w:t>
        <w:br/>
        <w:t>However, as previously noted, such agreements do not, in principle, aim to restrict competition in the markets in which these companies operate. Such agreements serve the objective of ensuring stability in the employment of workers affected by the change of company managing a contract. Therefore, in general, agreements for the subrogation of workers made conventionally between companies within the framework of collective bargaining do not, in principle, have a restrictive nature on competition and, consequently, Article 1 of the LDC will not apply to them.</w:t>
        <w:br/>
        <w:t>This does not mean that if a particular Collective Agreement includes clauses related to the subrogation of workers that have the object or may have the effect of distorting competition in any related goods or services market, they should not be considered, in their case, contrary to Article 1 of Law 15/2007.</w:t>
      </w:r>
    </w:p>
    <w:p>
      <w:r>
        <w:rPr>
          <w:b/>
        </w:rPr>
        <w:t>[Pages 25–27]</w:t>
      </w:r>
    </w:p>
    <w:p>
      <w:r>
        <w:t>In contrast to what APROSER, FES, and ACAES intend, this interpretation is not contrary to the aforementioned Judgment of the Supreme Court of January 27, 2009. This Judgment, as the Supreme Court itself clarifies, "seeks to determine the scope of Article 14 of the State Collective Agreement for Security Companies in relation to the existence of the obligation to assume the incoming company in the activity of surveillance of a worker coming from the outgoing company, when the contract with the service lessee was terminated at the request of the latter." It also refers to a controversy regarding the dismissal of a worker who provided surveillance services - and not transport and cash handling - at a regular workplace. The Judgment indeed analyzes Article 14 of the State Collective Agreement for Security Companies signed for the years 2005-2008 in order to verify whether the provisions for subrogation set forth in Article 14 of the Security Companies Agreement are met in that case. However, this does not prevent nor should it contradict an analysis of the subrogation mechanisms included in Clause 14 of the Agreement, regarding transport and cash handling, from the perspective of Law 15/2007. Such analysis corresponds exclusively to the CNC, as it is the competent authority for the application of Law 15/2007 in this case. Just as the CNC is not competent to apply labor law, neither can the Social Jurisdiction conduct an analysis of the agreement from the perspective of Competition Law. Therefore, the actions of administrative and jurisdictional bodies are compatible, to the extent that each is reserved for a specific area of competence.</w:t>
      </w:r>
    </w:p>
    <w:p>
      <w:r>
        <w:t>FOURTH. Article 14 of the State Collective Agreement for Security Companies 2005-2008 on the "Subrogation of Cash Transport Services"</w:t>
      </w:r>
    </w:p>
    <w:p>
      <w:r>
        <w:t>From the reading of the complaint and the responses of the parties to the requests, it can be inferred that, unlike other security services, in the case of cash transport, the workers are not assigned to a workplace. They perform routes collecting or delivering cash, usually serving multiple clients. This has led to the activity of cash handling and transport in terms of subrogation to deviate from the general clause and has given rise to the design of the peculiar mechanism described in HP 14 to 17. It must be clear at this point that, contrary to what APROSER, FES, and ACAES intend in their allegations, the CNC Council does not seek as an alternative or term of comparison the assignment of these workers to a specific workplace. It merely observes that this lack of assignment is a reality in cash transport and handling and that it has led to the design of specific mechanisms for the subrogation of workers in this type of service. The analysis of these mechanisms and their implications for competition is the issue at stake in this file.</w:t>
      </w:r>
    </w:p>
    <w:p>
      <w:r>
        <w:t>In this regard, Article 14 of the State Collective Agreement for Security Companies 2005-2008 designs a subrogation mechanism that contains certain characteristics that render it capable of distorting competition regarding cash transport and handling in a manner not justified by the objective of collective bargaining. Following the systematic approach presented by the Directorate of Investigation in its allegations to the Requalification Agreement, we will refer to three aspects of the analyzed Clause that reinforce each other with the result of obstructing competition: a) The number of workers subject to subrogation; b) The nature of the workers subject to subrogation; and c) Other elements generating uncertainty that obstruct competition.</w:t>
      </w:r>
    </w:p>
    <w:p>
      <w:r>
        <w:t>a) The number of workers subject to subrogation</w:t>
      </w:r>
    </w:p>
    <w:p>
      <w:r>
        <w:t>Certain aspects of the mechanism for calculating the number of workers to be subrogated implicitly inflate this figure concerning the actual needs of the service. This translates to the competitor an undue labor cost relative to the new contract obtained, negatively affecting its profitability. This fact generates an artificial increase in entry barriers to the market and reduces the incentives to compete vigorously for clients. Among these aspects that may skew the number of workers to be subrogated upwards, the following should be highlighted.</w:t>
      </w:r>
    </w:p>
    <w:p>
      <w:r>
        <w:t>First, the rounding mechanism. When the lost contract in favor of a competitor involves a number of stops such that applying the coefficients stipulated in Clause 14 of the aforementioned Agreement results in a figure between 0.5 and 1, it should be rounded up to 1, which implies the subrogation of a complete crew. This clearly means that the competitor must assume an undue labor burden for the service they are going to provide. On the other hand, the fact that Article 33 of the LSP establishes the equipment and functions of each armored vehicle and regulates the composition of the crew does not imply that only complete crews can be subrogated. In fact, this article of the LSP logically does not require that a crew serve exclusively a client or contract, so that upon losing the same, there is no reason to require the complete crew to be subrogated. All this without prejudice to the obligation of the company providing the service to do so in accordance with what Article 33 of the LSP provides.</w:t>
      </w:r>
    </w:p>
    <w:p>
      <w:r>
        <w:t>Second, the 2005-2008 Agreement also states that "However, if once the previous rule is applied, the resulting figure is less than 0.5 and, consequently, no subrogation of personnel is to be made, if the new awardee company obtains, during the following twelve months, the award of services that had the same outgoing company, this previous figure will, in any case, be added to the new resulting figure for the purposes of subrogation of personnel." This sort of retroactive application of the subrogation mechanism can also have the effect of weakening competition.</w:t>
      </w:r>
    </w:p>
    <w:p>
      <w:r>
        <w:t>Given that taking several contracts from the same company can subsequently result in a transfer of labor costs, competitors may choose not to submit bids to clients of the same company or to do so less frequently. This reduction in the incentive to compete may be all the more significant the fewer established companies there are in the market and the higher the cost of subrogation tends to be.</w:t>
      </w:r>
    </w:p>
    <w:p>
      <w:r>
        <w:t>Third, according to Clause 14 of the 2005-2008 Agreement, if a company loses a cash handling (counting) contract in favor of another, it was obliged to subrogate the number of cash counters resulting from dividing the average monthly billing amount lost over the last seven months by 1,700 euros. As some parties have pointed out, this figure is obtained by dividing the annual salary cost of the cash counter by 12. This aims to ensure that the number of workers to be subrogated is that which can be afforded with the average billing that the company that previously managed the contract generated. This method skews the number of workers to be subrogated upwards for various reasons. One, because it takes into account the billing of the company that previously managed the service and not that of the one that wins it. It is feasible that if it has won the contract, it is because it was able to offer a lower price. Two, because the coefficient of 1,700€ was calculated with data from 2004. While salaries have been updated since 2004, the coefficient has remained unchanged, which increases the burden of subrogation. Three, because the method assumes that all billing is intended to cover labor costs. Four, because this calculation method does not take into account that counting is an activity where technical advances allow the service to be performed with an increasingly smaller number of workers. Regardless of the interpretation that companies make of Clause 14 of the Agreement, all these elements contained therein contribute to disproportionately increasing the labor costs of the company that manages to acquire a new client, which has the effect of disincentivizing competition for attracting clients in the market.</w:t>
      </w:r>
    </w:p>
    <w:p>
      <w:r>
        <w:t>On the other hand, the argument of APROSER, FES, and ACAES that under other assumptions the labor burden to be transferred could be even greater does not prevent the conclusion presented regarding the design included in the 2005-2008 Agreement.</w:t>
      </w:r>
    </w:p>
    <w:p>
      <w:r>
        <w:t>b) The nature of the workers subject to subrogation</w:t>
      </w:r>
    </w:p>
    <w:p>
      <w:r>
        <w:t>Clause 14 of the aforementioned Agreement, regarding cash transport and handling, does not contain objective requirements to determine the workers subject to subrogation. This clause does not establish a direct relationship between the service subject to the change of ownership - which constitutes the subjective requirement for subrogation to occur - and the human resources employed to provide it that must be subrogated. In particular, the mechanism contained in this Agreement did not ensure that the workers...</w:t>
      </w:r>
    </w:p>
    <w:p>
      <w:r>
        <w:rPr>
          <w:b/>
        </w:rPr>
        <w:t>[Pages 28–30]</w:t>
      </w:r>
    </w:p>
    <w:p>
      <w:r>
        <w:t>the subrogated workers had been providing service on the routes affected by the change of contract or for the clients that are subject to the change of provider. Nor did it ensure that the workers being subrogated had characteristics suited to the actual personnel needs for the provision of the new service in terms of their working conditions, nor that they were designated by any type of objective rule.</w:t>
      </w:r>
    </w:p>
    <w:p>
      <w:r>
        <w:t>As the Business Associations themselves acknowledge in their allegations, the company that loses a contract and, therefore, sees its revenue reduced, has a strong incentive to take advantage of the situation and transfer those workers that represent a higher labor cost and not necessarily those who have a greater relation to the service being transferred. The lack of objective criteria for determining the workers to be subrogated allows this incentive to materialize due to the large margin of discretion granted to the transferring companies, which will have the ability to transfer those human resources that are less efficient for the performance of the task. This reduces their labor costs while shifting the burden to the competitor that wins the contract, whose competitiveness will be hindered.</w:t>
      </w:r>
    </w:p>
    <w:p>
      <w:r>
        <w:t>c) Other elements generating uncertainty that hinder competition.</w:t>
      </w:r>
    </w:p>
    <w:p>
      <w:r>
        <w:t>Linked to the above, not having prior knowledge, at least, of the nature of the workers to be assumed by the assignee means that the competitor who wins a contract cannot know the true amount of the labor cost that is transferred to them until they are informed of the identity and working conditions of the workers they are assuming. This means that when they make an offer to a client to win a particular concession, they do not really know the labor cost they will bear nor the working conditions of the workers they will have to assume.</w:t>
      </w:r>
    </w:p>
    <w:p>
      <w:r>
        <w:t>This is reinforced, as the Directorate of Investigation indicates, by other provisions of the Agreement. In particular, the fact that the transferring company has the authority to retain all or part of the workers affected by the subrogation or the fact that it remains unspecified when the representatives of the workers can exercise the right to choose between remaining in their company or being subrogated to the awardee company.</w:t>
      </w:r>
    </w:p>
    <w:p>
      <w:r>
        <w:t>All of this hinders a potential competitor's ability to make an offer adjusted to costs that they do not know. Let us not forget that labor costs constitute the most important part of the variable costs of this activity. This uncertainty disincentivizes competitors from maintaining more aggressive strategies when presenting their offers and competing for clients more effectively.</w:t>
      </w:r>
    </w:p>
    <w:p>
      <w:r>
        <w:t>In short, all these elements weaken competition for clients and have the effect of artificially increasing barriers to entry into the market. Therefore, it must be concluded that the subrogation mechanism agreed upon by business organizations and unions, in the terms contained in the 2005-2008 Agreement, has the capacity to hinder effective competition in the market for transport and handling of funds.</w:t>
      </w:r>
    </w:p>
    <w:p>
      <w:r>
        <w:t>Contrary to the arguments made by APROSER, FES, and ACAES, this capacity is implicit in the wording. Certainly, the interpretation that companies give to it may contribute to amplifying the effects or to them making abusive use of it, which could also be considered restrictive of competition. But, whatever that interpretation may be, the very nature of the mechanisms provided contains, as has been exposed, elements capable of weakening the incentive of companies to compete for clients among themselves.</w:t>
      </w:r>
    </w:p>
    <w:p>
      <w:r>
        <w:t>In this sense, contrary to what the Business Associations believe, it is not a particular company but the development of competition in the market that is affected. It does not affect a specific company; it affects all as long as they try to attract new clients, weakening effective competition for them. The fact that this is a market in which two specific companies (PROSEGUR and LOOMIS) concentrate more than 90% of the supply obviously amplifies the potential restrictive effect of clause 14 to the extent that it intensifies the barriers to entry.</w:t>
      </w:r>
    </w:p>
    <w:p>
      <w:r>
        <w:t>FIFTH. Qualification of the conduct</w:t>
      </w:r>
    </w:p>
    <w:p>
      <w:r>
        <w:t>In accordance with what has been stated in the previous Legal Basis, the Council considers that section B) of article 14 of the State Collective Agreement of Security Companies 2005-2008 on "Subrogation of services" constitutes an agreement that may produce the effect of hindering effective competition in the market for transport and handling of funds and, therefore, is contrary to article 1 of the LDC.</w:t>
      </w:r>
    </w:p>
    <w:p>
      <w:r>
        <w:t>The Council considers that the allegation that there has been an imprecision in the charges made in the requalification agreement as a basis for a sanctioning resolution lacks foundation.</w:t>
      </w:r>
    </w:p>
    <w:p>
      <w:r>
        <w:t>In said Agreement of January 11, 2012, in accordance with the provisions of article 51.4 of the LDC and based on the facts described by the Directorate of Investigation in its Statement of Specification of Facts, a new qualification of the conduct was proposed and it was done with clarity and specificity. The qualification of the facts as an infringement of article 1 was proposed and it was clarified who should be considered responsible for the conduct: "those parties against whom the Directorate of Investigation initiated this sanctioning file: the Professional Association of Private Security Service Companies of Spain (APROSER), the Spanish Business Federation of Security (FES), the Association of Media, Professionals, and Security Companies (AMPES), the Catalan Association of Security Companies (ACAES), the State Federation of Services of the General Union of Workers (FES-UGT), and the Federation of Private Security Workers of the Workers' Trade Union (FTSP-USO)".</w:t>
      </w:r>
    </w:p>
    <w:p>
      <w:r>
        <w:t>In order to satisfy the right of defense of the parties, the Council, in accordance with the provisions of Law 15/2007, granted the parties the opportunity to make allegations and the possibility of presenting evidence. The allegations of APROSER, FES, and ACAES themselves are proof of this clarity and specificity in the charges, as they focus on rebutting the arguments by which the Council estimates that clause 14 of the Agreement is susceptible to constituting an infringement of article 1 of Law 15/2007. In short, the facts delineated as constitutive of the infringement are identified and there is no material defenselessness of any kind, so it must be considered that the procedure has fully complied with the law (STS of December 7, 2011).</w:t>
      </w:r>
    </w:p>
    <w:p>
      <w:r>
        <w:t>The Council also disagrees with the alleged consideration that it has not been established that the agreement has the capacity to distort competition. The Council has reasoned, both in the requalification agreement and in this Resolution, the capacity of the agreement to distort competition. The Directorate of Investigation has done the same in its response to the Requalification Agreement. In this sense, it should be recalled that the behaviors typified in article 1 are prohibited (RTDC of November 22, 2006) "If, and only if regarding preventing, restricting, or distorting competition, they meet at least one of the following conditions: a) Having the object, even if it does not achieve it. b) Producing the effect, even if there is no purpose, or c) Having been able to produce the effect even without pursuing it".</w:t>
      </w:r>
    </w:p>
    <w:p>
      <w:r>
        <w:t>The Council also does not consider that the provisions of article 1.3 are applicable in this case. The design of the subrogation mechanism would not be justified by the objective of stability in employment declared in the Agreement itself. In reality, this subrogation mechanism may not serve the stability of employment as intended. To the extent that the company that wins the contract is forced to assume labor costs that are not proportionate to the business that this contract generates for it, it is more than likely that sooner or later it will be forced to adjust its workforce. The complainant provides various examples in this regard. The designed mechanism serves more to transfer the labor burdens from the transferor to the assignee than to ensure stability in jobs. In any case, the restriction is not proportionate, as the Business Associations themselves implicitly acknowledge, by admitting that the coefficients were set with the intention of maximizing the number of workers to be subrogated because that is in the interest of the transferring company and the representatives of the workers. It should not be forgotten either that APROSER, the Association with the greatest representation on the negotiating table, represents PROSEGUR and LOOMIS, which control the supply in this market and, therefore,</w:t>
      </w:r>
    </w:p>
    <w:p>
      <w:r>
        <w:rPr>
          <w:b/>
        </w:rPr>
        <w:t>[Pages 31–32]</w:t>
      </w:r>
    </w:p>
    <w:p>
      <w:r>
        <w:t>have greater chances of being assignors if competitors enter that could take away their business.</w:t>
      </w:r>
    </w:p>
    <w:p>
      <w:r>
        <w:t>On the other hand, in the opinion of the Council, it is not appropriate to propose a conventional termination regarding a clause that appears in a Collective Agreement whose validity expired with the signing of a new agreement in 2010. Clause 14 had its effects during the validity of the previous Agreement, so there are no remedies that can counteract the same.</w:t>
      </w:r>
    </w:p>
    <w:p>
      <w:r>
        <w:t>SIXTH. Liability of the offenders and calculation of the sanction</w:t>
      </w:r>
    </w:p>
    <w:p>
      <w:r>
        <w:t>The State Collective Agreement for Security Companies 2005-2008 was signed on one side by the business associations APROSER, FES, AMPES, and ACAES, representing the companies in the sector, and on the other side by the trade unions UGT and USO. APROSER, the entity representing the leading companies in the transport and handling of funds, had 5 seats at the Negotiating Table of the Agreement, while the other business associations had two.</w:t>
      </w:r>
    </w:p>
    <w:p>
      <w:r>
        <w:t>Therefore, the signatory parties of the Collective Agreement that includes the analyzed Clause are considered responsible for the infringement. All of them are liable for it, even if only on the grounds of negligence.</w:t>
      </w:r>
    </w:p>
    <w:p>
      <w:r>
        <w:t>Regarding the calculation of the sanction, the Council considers that the special circumstances of the case must be taken into account. Firstly, we are faced with an agreement that, while capable of having effects on competition, does not aim to restrict it.</w:t>
      </w:r>
    </w:p>
    <w:p>
      <w:r>
        <w:t>Secondly, the declaration of infringement of Law 15/2007 regarding a clause that is part of the content of collective bargaining undoubtedly constitutes a novelty that must be considered when imposing the sanction. The Council takes this circumstance into special account when calculating the sanction.</w:t>
      </w:r>
    </w:p>
    <w:p>
      <w:r>
        <w:t>Furthermore, the different roles played by each of the parties and the different interests they defend must be considered. The business organizations, primarily APROSER, defend the interests of companies that operate directly in the market affected by the conduct, so despite the novelty, precisely because of the potential effects and the companies they represent, they deserve a sanction, even if it is minimal. In fact, some of the member companies of APROSER may directly benefit from the greater barriers to entry generated by a mechanism like the one analyzed. Regarding the trade unions, although they have contributed to the creation and functioning of this mechanism that distorts competition in the transport and handling of funds market, we understand that they are external to the scope and repercussions of this restriction.</w:t>
      </w:r>
    </w:p>
    <w:p>
      <w:r>
        <w:t>Considering all of the above, the Council believes that in this case, it is not appropriate to impose a sanction on the trade unions and that a symbolic sanction should be imposed on the business associations, which it sets at €5,000 in the case of APROSER and €2,000 in the case of the other accused Associations.</w:t>
      </w:r>
    </w:p>
    <w:p>
      <w:r>
        <w:t>Based on the above, the Council of the National Competition Commission in the composition mentioned at the beginning, having seen the cited provisions and the others of general application,</w:t>
      </w:r>
    </w:p>
    <w:p>
      <w:r>
        <w:t>RESOLVES</w:t>
      </w:r>
    </w:p>
    <w:p>
      <w:r>
        <w:t>FIRST. To declare that Article 14 of the State Collective Agreement for Security Companies 2005-2008, regarding the transport and handling of funds, signed by the business associations APROSER, FES, AMPES, and ACAES, representing the companies in the sector, and on the other side by the trade unions UGT and USO constitutes an infringement of Article 1 of the Competition Defense Law for which all parties that have signed it are responsible.</w:t>
      </w:r>
    </w:p>
    <w:p>
      <w:r>
        <w:t>SECOND. Not to sanction the unions and to impose on APROSER, FES, AMPES, and ACAES the following symbolic fines:</w:t>
        <w:br/>
        <w:t>• €5,000 to the Professional Association of Private Security Service Companies of Spain (APROSER).</w:t>
        <w:br/>
        <w:t>• €2,000 to the Spanish Business Federation of Security (FES).</w:t>
        <w:br/>
        <w:t>• €2,000 to the Association of Media, Professionals, and Security Companies (AMPES).</w:t>
        <w:br/>
        <w:t>• €2,000 to the Catalan Association of Security Companies (ACAES).</w:t>
      </w:r>
    </w:p>
    <w:p>
      <w:r>
        <w:t>THIRD. To urge the aforementioned Business and Trade Associations to refrain from committing practices like those sanctioned in the future.</w:t>
      </w:r>
    </w:p>
    <w:p>
      <w:r>
        <w:t>FOURTH. To urge the Directorate of Investigation to monitor and ensure the full compliance of this Resolution.</w:t>
      </w:r>
    </w:p>
    <w:p>
      <w:r>
        <w:t>This Resolution shall be communicated to the Directorate of Investigation of the CNC and notified to the interested parties, informing them that no administrative appeal can be filed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