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https://www.cnmc.es/expedientes/s020309</w:t>
      </w:r>
    </w:p>
    <w:p>
      <w:r>
        <w:t>Pages translated : 14</w:t>
      </w:r>
    </w:p>
    <w:p/>
    <w:p>
      <w:r>
        <w:rPr>
          <w:b/>
        </w:rPr>
        <w:t>[Pages 1–3]</w:t>
      </w:r>
    </w:p>
    <w:p>
      <w:r>
        <w:t xml:space="preserve">RESOLUTION  </w:t>
        <w:br/>
        <w:t xml:space="preserve">(Sanctioning File S/00203/09 COAPI)  </w:t>
        <w:br/>
        <w:t xml:space="preserve">COUNCIL  </w:t>
        <w:br/>
        <w:t xml:space="preserve">Mr. Luis Berenguer Fuster, President  </w:t>
        <w:br/>
        <w:t xml:space="preserve">Ms. Pilar Sánchez Núñez, Vice President  </w:t>
        <w:br/>
        <w:t xml:space="preserve">Ms. Mª. Jesús González López, Councilor  </w:t>
        <w:br/>
        <w:t xml:space="preserve">In Madrid, on December 22, 2010  </w:t>
        <w:br/>
        <w:t>The Council of the National Competition Commission, with the composition expressed in the margin and being the Rapporteur Councilor Ms. Pilar Sánchez Núñez, has issued a resolution in the Sanctioning File S/00203/09 COAPI instructed by the Directorate of Investigation for the alleged violation of Law 15/2007, of July 3, on the Defense of Competition (LDC).</w:t>
      </w:r>
    </w:p>
    <w:p>
      <w:r>
        <w:t xml:space="preserve">FACTUAL BACKGROUND  </w:t>
        <w:br/>
        <w:t xml:space="preserve">1. On November 19, 2010, a proposal from the Directorate of Investigation was received by the Council of the National Competition Commission (the Council) consisting of applying a conventional termination to the sanctioning file S/00203/09, initiated due to indications of a violation of the LDC.  </w:t>
        <w:br/>
        <w:t xml:space="preserve">2. The aforementioned file originates from the complaint filed on November 20, 2009, with the Directorate of Investigation (hereinafter DI), by a letter from Mr. […] on behalf of Mr. […], against the Official College of Industrial Property Agents (hereinafter, COAPI) for a decision by the College's Board of Directors that limits advertising and competition among Industrial Property Agents. After initiating a reserved inquiry, within the framework established in section 2 of Article 49 of Law 15/2007, of July 3, on the Defense of Competition (LDC), on February 2, 2010, after observing indications of a violation, it was agreed to initiate a sanctioning file against COAPI for restrictive conduct of competition, prohibited by Article 1 of the LDC, in relation to certain restrictions set by this College that would affect competition in the market for services provided by Industrial Property Agents.  </w:t>
        <w:br/>
        <w:t xml:space="preserve">3. The Proposal for Resolution of Conventional Termination raised by the DI states the following background of this file:  </w:t>
        <w:br/>
        <w:t xml:space="preserve">(5) COAPI had initiated sanctioning procedures against Mr. […] for having submitted an offer for trademark renewal services to companies that were clients of other members. These disciplinary actions were based on Article 5.b) b’) of the COAPI Code of Conduct, according to which it is considered a violation "to approach a potential client mentioning their files that are being handled by other colleagues or that may be presumed to be."  </w:t>
        <w:br/>
        <w:t xml:space="preserve">(6) On February 5, 2010, the Directorate of Investigation, at the request of the complainant, submitted a proposal for the adoption of precautionary measures to the Council of the CNC, which was processed in file MC/0005/10. In this proposal, the Directorate of Investigation proposed that the Council of the CNC agree to suspend the sanctioning procedures initiated against Mr. […] while the processing of the sanctioning file in the CNC lasted.  </w:t>
        <w:br/>
        <w:t xml:space="preserve">(7) In its Resolution of March 9, 2010, the Council of the CNC agreed not to adopt the proposed measures, since COAPI had agreed, on its own initiative, to suspend the procedures initiated against Mr. […], so the precautionary measure proposed by the Directorate of Investigation was no longer necessary.  </w:t>
        <w:br/>
        <w:t xml:space="preserve">(8) On September 24, 2010, a letter was received by the CNC submitted by COAPI requesting the resolution of the reference file through conventional termination while specifying a first proposal of commitments.  </w:t>
        <w:br/>
        <w:t xml:space="preserve">(9) On October 6, 2010, the Directorate of Investigation agreed to initiate actions aimed at the conventional termination of the sanctioning procedure in reference, in response to the aforementioned request from COAPI. It also considered that the commitments presented in that request for the initiation of conventional termination were not adequate to conclude the reference file, so it granted COAPI a period of fifteen days to submit a new request for commitments.  </w:t>
        <w:br/>
        <w:t xml:space="preserve">(10) In response to this requirement, on October 21, 2010, a new proposal for commitments was received by the CNC submitted by COAPI.  </w:t>
        <w:br/>
        <w:t xml:space="preserve">(11) On October 27, 2010, the Directorate of Investigation forwarded the proposal for commitments to Mr. […], who was granted a period of ten days to present allegations to the proposal for commitments.  </w:t>
        <w:br/>
        <w:t xml:space="preserve">(12) On November 3, 2010, COAPI provided additional information to expand its proposal for commitments.  </w:t>
        <w:br/>
        <w:t xml:space="preserve">(13) On November 10, a letter was received by the CNC on behalf of Mr. […] containing allegations regarding the proposal for commitments submitted on October 21. The content of these allegations is reported by the DI in paragraphs (42) to (45) as follows:  </w:t>
        <w:br/>
        <w:t xml:space="preserve">(42) "On November 10, 2010, Mr. […] submitted a series of allegations to the proposal of October 21. The allegations of Mr. […] are summarized in three points.  </w:t>
        <w:br/>
        <w:t xml:space="preserve">(43) First, Mr. […] does not consider the proposed wording regarding the use of the disjunction "to opine or to inform" versus "exchange of opinions," which is the wording of the cited community precedents, to be accurate. The complainant believes that while "opinion" pertains to subjective elements, "information" deals with objective circumstances. Therefore, he considers that the prohibition in Article 5.b) b’) of the Code of Conduct should include, as an element of the type, a subjective element that guarantees that COAPI cannot pursue acts of purely objective information such as those that constitute the subject of the files initiated against Mr. […].  </w:t>
        <w:br/>
        <w:t xml:space="preserve">(44) Mr. […] also points out that, while the precedent invoked requires that the Agent issuing an opinion "knows or suspects that the matter is being handled by another member," the COAPI's proposal only requires that "the matter is being handled by another colleague." The complainant believes that the new Article 5.b) b’) of the Code of Conduct should include as a requirement the "actual knowledge" that the matter is being handled by another member. The complainant considers that a limitation of this nature is necessary so that the College can only sanction an agent if it demonstrates that they knew the matter was being handled by a colleague.  </w:t>
        <w:br/>
        <w:t xml:space="preserve">(45) Finally, Mr. […] also raises the situation of the files initiated by COAPI and, in this regard, considers the filing of such files indispensable, as well as the publicity of said filing to restore the good name of the complainant. Finally, they consider that the acceptance of the proposed commitments should not prevent the imposition of a financial sanction on COAPI."  </w:t>
        <w:br/>
        <w:t xml:space="preserve">(14) On November 11, 2010, a letter was received submitted by COAPI in which it modified its proposal for commitments of October 21, 2010.  </w:t>
        <w:br/>
        <w:t xml:space="preserve">4. The Council of the National Competition Commission deliberated and ruled on this matter in the session held on December 22, 2010.  </w:t>
        <w:br/>
        <w:t xml:space="preserve">5. The interested parties are:  </w:t>
        <w:br/>
        <w:t xml:space="preserve">• Mr. […], Official Agent of Industrial Property and owner of all the capital of the company Ungría Patentes y Marcas, S.A.  </w:t>
        <w:br/>
        <w:t>• Official College of Industrial Property Agents (COAPI)</w:t>
      </w:r>
    </w:p>
    <w:p>
      <w:r>
        <w:t xml:space="preserve">ACCREDITED FACTS  </w:t>
        <w:br/>
        <w:t xml:space="preserve">1. The interested parties in this file are, as stated in the proposal of the DI:  </w:t>
        <w:br/>
        <w:t xml:space="preserve">II. THE PARTIES  </w:t>
        <w:br/>
        <w:t xml:space="preserve">(15) The complainant is Mr. […], Official Agent of Industrial Property and owner of all the capital of the company Ungría Patentes y Marcas, S.A. This company provides management and representation services for its clients before the various competent public registries in matters of industrial property titles (Spanish Patent and Trademark Office, European Patent Office, and Office for Harmonization in the Internal Market).  </w:t>
        <w:br/>
        <w:t xml:space="preserve">(16) The defendant is the Official College of Industrial Property Agents (COAPI). COAPI is the Professional College that brings together all the Industrial Property Agents (hereinafter, APIs) in Spain who, by legal imperative, must belong to this College to practice professionally. COAPI has 363 members (folio 148).  </w:t>
        <w:br/>
        <w:t xml:space="preserve">2. In the Proposal of the DI, the legal environment and relevant precedents for the purposes of this file are described as follows:  </w:t>
        <w:br/>
        <w:t>3</w:t>
      </w:r>
    </w:p>
    <w:p>
      <w:r>
        <w:rPr>
          <w:b/>
        </w:rPr>
        <w:t>[Pages 4–6]</w:t>
      </w:r>
    </w:p>
    <w:p>
      <w:r>
        <w:t xml:space="preserve">“III.1. Legal Environment  </w:t>
        <w:br/>
        <w:t xml:space="preserve">(17) Like the other Professional Colleges referred to in Law 2/1974, of February 13, on Professional Colleges, the COAPI is a Corporation of Public Law recognized by the State, whose purpose is the regulation of the exercise of the profession and the defense of the professional interests of its members.  </w:t>
        <w:br/>
        <w:t xml:space="preserve">(18) The COAPI is governed by Royal Decree 278/2000, of February 25, which approves the Statutes of the Official College of Industrial Property Agents (hereinafter, "the Statutes of the College") and by the rules issued by the College itself in development of these Statutes, in particular, the Code of Conduct approved by the General Board on January 25, 2001.  </w:t>
        <w:br/>
        <w:t xml:space="preserve">(19) Article 1.1 of the aforementioned Royal Decree states that: “the Official College of Industrial Property Agents is a corporation of public law protected by law and recognized by the State, with its own legal personality and full capacity to fulfill its purposes. It has jurisdiction over its members throughout the national territory.”  </w:t>
        <w:br/>
        <w:t xml:space="preserve">(20) The Code of Conduct fits within the Internal Regulations referred to in Article 6 of Law 2/1974 on Professional Colleges, whose approval corresponds to each College through its General Board, and its objective is the development of the general principles of professional conduct set forth in Article 7 of the Statutes of the COAPI.  </w:t>
        <w:br/>
        <w:t xml:space="preserve">(21) The Code of Conduct consists of seven sections: 1) General provisions, 2) Advertising, 3) Relations with the public, 4) Relations with clients, 5) Relations with other members, 6) Relations with the Spanish Patent and Trademark Office and international offices related to Industrial Property, and 7) Relations with the COAPI.  </w:t>
        <w:br/>
        <w:t xml:space="preserve">(22) Among the purposes of the COAPI, listed in Article 5 of the Statutes, is the regulation of professional practice. For the exercise of its purposes, among the functions of the COAPI (detailed in Article 6 of the Statutes) is mentioned (Article 6.2) the possibility of exercising disciplinary authority in the exercise of its competencies.  </w:t>
        <w:br/>
        <w:t xml:space="preserve">(23) The disciplinary regime of the APIs is regulated in Chapter VIII of the Statutes. This Chapter establishes that APIs are subject to disciplinary responsibility in case of violation of their professional duties and classifies offenses into three types: very serious, serious, and minor. The sanctions consist of the suspension of the exercise of activity (applicable to very serious and serious offenses) or a warning and written reprimand (applicable to minor offenses).  </w:t>
        <w:br/>
        <w:t xml:space="preserve">III.2. Precedents  </w:t>
        <w:br/>
        <w:t xml:space="preserve">(24) The precedents in competition matters are abundant in examples where Competition Law is applied to regulations issued by Professional Colleges in the exercise of their functions. Thus, for example, the TDC Resolution of October 11, 2001 considered certain advertising regulations imposed by the Madrid Bar Association as a restrictive decision on competition. In similar terms, the TDC Resolution of December 14, 2000, or the TDC resolution of January 18, 2000, and the TDC Resolution of October 5, 2000, also ruled.  </w:t>
        <w:br/>
        <w:t xml:space="preserve">(25) The National Competition Commission has also issued resolutions in this area, such as that of December 27, 2007 (Expte. 635/07, College of Dentists and Stomatologists of Las Palmas), in which it considered a recommendation of fees by the College to be contrary to Article 1 LDC, or the resolution of February 26, 2008 (Expte. 629/07 College of Architects of Huelva) in which it considered that the College of Architects of Huelva had committed a violation of Article 1 by directing a price recommendation to its members.  </w:t>
        <w:br/>
        <w:t xml:space="preserve">(26) Regarding the activity provided by Industrial Property Agents, there is a precedent from the European Commission in the European Commission Decision of April 7, 1999. This Decision was reviewed by the Court of First Instance of the European Union by judgment of May 28, 2001 (Case T-144/99). In this Decision, the European Commission ruled on the compatibility of the Professional Code of Conduct of the Institute of Authorized Agents before the European Patent Office (IAA) with the former Article 85 EC, now Article 101 TFEU.  </w:t>
        <w:br/>
        <w:t xml:space="preserve">(27) In the field of promoting competition, the Report on the free exercise of professions (published in June 1992) should be mentioned, in which the now-defunct Competition Defense Tribunal (TDC) analyzed the distortions to competition generated by professional colleges as public institutions backed by the State. The TDC considered that their public nature and state backing could not be used to exempt professionals from the application of Competition Law.  </w:t>
        <w:br/>
        <w:t xml:space="preserve">(28) In the 1992 Report, the TDC classified restrictions on competition imposed by professional colleges into two types: access restrictions and exercise restrictions. The former would aim to establish certain access requirements to the profession, such as a specific academic qualification or mandatory membership, while the latter would affect the conditions for providing services. Within this second category, restrictions on free provision within the national territory, restrictions on advertising, restrictions related to business structure, and restrictions related to the setting and collection of fees would be included.  </w:t>
        <w:br/>
        <w:t xml:space="preserve">(29) More recently, in September 2008, the National Competition Commission published a new Report on the professional services sector and professional colleges, which outlines the main competition issues detected in the field of professional services, describes the changes that have occurred in this sector, and recommends certain lines of action in the design of the new regulatory framework for professional services.  </w:t>
        <w:br/>
        <w:t xml:space="preserve">(30) Finally, the Report on the Competition of professional services from February 2004 prepared by the European Commission should be cited, in which the need to eliminate all restrictions on competition in the sector of liberal professions that were not justified was raised, and each Member State was attributed the responsibility to adopt measures or amend national legislation that, being unjustified, hinder competition and the free movement of services in the common market. This Report focused its study on six liberal professions: lawyers, notaries, pharmacists, engineers, architects, and auditors or accountants.  </w:t>
        <w:br/>
        <w:t xml:space="preserve">3. The market in which the conduct takes place is according to the proposal of the DI:  </w:t>
        <w:br/>
        <w:t xml:space="preserve">“IV.1. Product Market  </w:t>
        <w:br/>
        <w:t xml:space="preserve">(31) The market in which the conduct subject to this file takes place is that of the services provided by Industrial Property Agents. The functions of Industrial Property Agents are defined in Article 2, section 2 of the Statutes of the COAPI: “industrial property agents are the natural persons registered in the Special Register of Industrial Property Agents of the Spanish Patent and Trademark Office, and their own functions are to offer and provide their services, as liberal professionals in a regime of free competition, to advise, assist, or represent third parties for the obtaining of registrations in the various modalities of industrial property and the defense of the rights derived from them before the Spanish Patent and Trademark Office.”  </w:t>
        <w:br/>
        <w:t xml:space="preserve">(32) According to this definition, the services provided by Industrial Property Agents consist of representation and advice in matters of industrial property rights, that is, patents, trademarks, industrial designs, topographies, etc.  </w:t>
        <w:br/>
        <w:t xml:space="preserve">(33) Industrial property rights are characterized by the fact that, for their acquisition, the corresponding registration is mandatory and has a constitutive nature. The registration is obtained before different offices. The Spanish Patent and Trademark Office grants rights over all modalities of industrial property and issues registrations of national scope. For the obtaining of rights with a broader geographical scope, the Office for Harmonization in the Internal Market (OHIM), based in Alicante, grants trademark and design rights for the entire territory of the European Union. In the field of patents, the European Patent Office, based in Munich, grants rights that cover the scope of 37 member states.  </w:t>
        <w:br/>
        <w:t xml:space="preserve">(34) Generally, the intervention of an API before the OEPM is not mandatory, so the interested party has the option to appear on their own. This is due to the principle of voluntariness in representation before public administrations. The OEPM has the nature of a Public Administration and, therefore, is governed by the provisions of Law 30/1992, of November 26, on the Legal Regime of Public Administrations and the Common Administrative Procedure, whose Article 32, (paragraph 2) establishes that “any person with legal capacity may act on behalf of another before Public Administrations.”  </w:t>
        <w:br/>
        <w:t xml:space="preserve">(35) The rule of non-mandatory hiring of an Agent's services is excepted in the case provided for in Article 155.1.c) of Patent Law 11/1986 of March 20, which states: "Non-residents in a Member State of the European Community must act, in any case, through an Industrial Property Agent."  </w:t>
        <w:br/>
        <w:t xml:space="preserve">(36) In any case, and despite the fact that, in general, the activity of Industrial Property Agents is not subject to activity reservation and can also be provided by other professionals such as lawyers, it is common for large companies to hire the specialized services of an Industrial Property Agent.  </w:t>
        <w:br/>
        <w:t xml:space="preserve">(37) This is due both to the technical specialization that characterizes the functions of an API (the need for specialized advice, strict deadline control, the need for specialized databases, etc.), and to the fact that, in almost all countries, the profession of Industrial Property Agent is subject to specific regulation.  </w:t>
        <w:br/>
        <w:t xml:space="preserve">(38) To obtain the title of Industrial Property Agent, it is necessary to pass qualification tests and hold a higher university degree. In addition, registered Agents must deposit a special bond with the Spanish Patent and Trademark Office, take out liability insurance, and register with the Official College of Industrial Property Agents.  </w:t>
        <w:br/>
        <w:t xml:space="preserve">(...)  </w:t>
        <w:br/>
        <w:t xml:space="preserve">IV.2. Geographical Market  </w:t>
        <w:br/>
        <w:t>(40) In Spain, there is a single College of Industrial Property Agents, which extends its jurisdiction to the entire national territory. This is established in Article 1.1 of its Statutes, which states: "The Official College of Industrial Property Agents is a corporation of public law protected by law and recognized by the State, with its own legal personality and full capacity to fulfill its purposes. It has jurisdiction over its members throughout the national territory.””</w:t>
      </w:r>
    </w:p>
    <w:p>
      <w:r>
        <w:rPr>
          <w:b/>
        </w:rPr>
        <w:t>[Pages 7–9]</w:t>
      </w:r>
    </w:p>
    <w:p>
      <w:r>
        <w:t xml:space="preserve">(…)  </w:t>
        <w:br/>
        <w:t xml:space="preserve">4. In relation to the Code of Conduct of the COAPI, on which the reported conduct is based, the facts established in the proposal of the DI are as follows:  </w:t>
        <w:br/>
        <w:t xml:space="preserve">(46) By agreement adopted on January 25, 2001, the General Assembly of the COAPI approved a Code of Conduct (pages 35-39), which develops the content of the obligations of the members provided for in the Statutes of this professional college.  </w:t>
        <w:br/>
        <w:t xml:space="preserve">(47) As previously indicated, the Code of Conduct is structured into seven sections, of which the fifth section is dedicated to relationships with other members. Within this section, letter b) states the following: “b) Members shall avoid any direct or indirect attempt to divert clientele from other members through unfair practices or practices that discredit the profession before said clientele.”  </w:t>
        <w:br/>
        <w:t xml:space="preserve">(48) Following this, subsections a’) and b’) specify situations that are unequivocally considered unfair. Letter b’) states that it considers unfair “to approach a potential client mentioning their files that are being handled by other colleagues or that may be presumed to be.”  </w:t>
        <w:br/>
        <w:t xml:space="preserve">5. And regarding the files initiated by the COAPI against D. […]  </w:t>
        <w:br/>
        <w:t xml:space="preserve">(49) “Article 5.b) b’) of the Code of Conduct has been used for the opening of seven sanctioning files by the COAPI against D. […]. The reason for such disciplinary files was the sending, by D. […], of a series of letters to several companies offering his services for the renewal of trademarks. In these letters, the upcoming expiration of the trademarks held by the receiving company was announced, and the service of renewal was offered. The registration of these trademarks had been entrusted, ten years earlier, to other members, which led to their complaint to the COAPI.  </w:t>
        <w:br/>
        <w:t xml:space="preserve">(50) Distinctive signs (trademarks and trade names) are subject to renewal every 10 years. If their holder neglects this obligation, the sign expires and becomes part of the public domain, and can be requested by any third party.  </w:t>
        <w:br/>
        <w:t xml:space="preserve">(51) One of the services that industrial property agents traditionally offer is monitoring. The monitoring service consists of the Agent notifying the trademark holder of the proximity of the renewal date and offering to promote it on their behalf. To provide this service, agents rely on databases that are fed by public sources, such as trademark registers (national and community).  </w:t>
        <w:br/>
        <w:t xml:space="preserve">(52) At the time D. […] directed the renewal offer to his clients, the processing of said trademarks corresponded to other APIs, who filed a series of complaints with the COAPI. In response to these complaints, the COAPI initiated seven sanctioning files against D. […]. Below is a summary table of the files opened by the COAPI for this reason.  </w:t>
        <w:br/>
        <w:t xml:space="preserve">File Agent Complainant Date of Initiation  </w:t>
        <w:br/>
        <w:t xml:space="preserve">Q a_01/09 D. […] October 21, 2009  </w:t>
        <w:br/>
        <w:t xml:space="preserve">Q a_14/09 D. […] October 21, 2009  </w:t>
        <w:br/>
        <w:t xml:space="preserve">Q a_15/09 Dª. […] Torné October 21, 2009  </w:t>
        <w:br/>
        <w:t xml:space="preserve">Q a_16/09 D. […] October 21, 2009  </w:t>
        <w:br/>
        <w:t xml:space="preserve">Q a_18/09 D. […] October 21, 2009  </w:t>
        <w:br/>
        <w:t xml:space="preserve">Q a_19/09 D. […] October 21, 2009  </w:t>
        <w:br/>
        <w:t xml:space="preserve">Q a_20/09 D. […] October 21, 2009  </w:t>
        <w:br/>
        <w:t xml:space="preserve">(53) In all these disciplinary files, the classification is one and the same, namely: “Such acts, if proven, could constitute a serious offense for violation of section c) of Article 48 of the College Statutes (R.D. 278/2000, of February 25) in relation to Article 5.b) of the Code of Conduct (General Assembly of January 25, 2001).”  </w:t>
        <w:br/>
        <w:t xml:space="preserve">(54) The facts subject to the sanctioning files initiated by the COAPI against D. […] classified as a serious offense, and according to the Statutes of the COAPI, serious offenses entail a sanction of suspension of professional practice for a minimum period of fifteen days, with the maximum degree being suspension for six months.  </w:t>
        <w:br/>
        <w:t xml:space="preserve">6. The process of presenting commitments proposed by the COAPI has been as follows:  </w:t>
        <w:br/>
        <w:t xml:space="preserve">(55) “As already indicated in the background, on October 21, 2010, a document was received in the Directorate of Investigation that includes the proposal of commitments consisting of giving Article 5.b) b’) of the Code of Conduct the following wording: it will be considered unfair “to opine or inform about a matter being handled by another colleague, questioning or denigrating their intervention unless the client expresses their desire to obtain an independent opinion or to change Agents.”  </w:t>
        <w:br/>
        <w:t xml:space="preserve">(56) Subsequently, on November 3, the COAPI provided additional information to announce the intention of the COAPI Board of Directors that would be held on November 30, to conclude the sanctioning procedures initiated against D. […] without any sanction.  </w:t>
        <w:br/>
        <w:t xml:space="preserve">(57) Later, on November 11, 2010, the COAPI presented a new version of the commitments that replaces the proposal of October 21, in which it proposed to give Article 5.b) b’) of the Code of Conduct the following wording: it will be considered unfair “to opine or inform about a matter being handled by another colleague, denigrating their intervention.”  </w:t>
        <w:br/>
        <w:t xml:space="preserve">LEGAL GROUNDS  </w:t>
        <w:br/>
        <w:t xml:space="preserve">FIRST.- The purpose of the file  </w:t>
        <w:br/>
        <w:t xml:space="preserve">Article 52 of Law 15/2007 of July 3, on the Defense of Competition, relating to the conventional termination of the sanctioning procedure, provides in its first section that “the Council of the National Commission of Competition, at the proposal of the Directorate of Investigation, may resolve the termination of the sanctioning procedure regarding prohibited agreements and practices when the alleged offenders propose commitments that resolve the effects on competition derived from the conduct subject to the file and sufficiently guarantee the public interest.”  </w:t>
        <w:br/>
        <w:t xml:space="preserve">Furthermore, as provided in the third section of the same article, “the termination of the procedure under the terms established in this article cannot be agreed upon once the proposed report provided for in Article 50.4 has been submitted.” And the second section of the same article states that “the commitments will be binding and will have full effect once incorporated into the resolution that concludes the procedure.”  </w:t>
        <w:br/>
        <w:t xml:space="preserve">The purpose of this resolution is to determine whether the reported conduct could constitute a violation of the LDC, and if so, whether the commitments proposed by the parties would resolve the effects on competition of said conduct, in such a way that the public interest would be sufficiently guaranteed. The investigation conducted by the DI concludes that the economic activities affected by the reported conduct include the services provided by Industrial Property Agents in the national geographic area. Upon receiving and analyzing the complaint, the DI assessed that there were indications of infringement, as “the COAPI had adopted a Code of Conduct whose Article 5.b) b’) generically and without any nuances or exceptions prohibits a member from addressing the client of another member mentioning files that are being handled by other members “or that may be presumed to be.”  </w:t>
        <w:br/>
        <w:t xml:space="preserve">The accused, COAPI, has proposed to the DI a series of commitments in order to eliminate the competition problems identified by the DI as a consequence of the existence of the clause drafted in Article 5.b) b’) of its Code of Conduct. The DI, after evaluating said commitments, and the allegations presented regarding them by the complainant, understands that they are sufficient to achieve the objective they intend, the removal of obstacles to competition in the affected markets, and therefore submits to this Council a proposal for the approval of said commitments and the consequent closure of the actions carried out within the framework of file S/0203/09. The purpose of this Resolution is to assess and resolve said proposal.  </w:t>
        <w:br/>
        <w:t xml:space="preserve">SECOND.- The anticompetitive effects of the contractual relationships analyzed  </w:t>
        <w:br/>
        <w:t>The reported conduct addressed in this file focuses on one of the provisions that the COAPI has established in the Code of Conduct developed and approved by said college and that must govern the relationships between professionals exercising their profession in the field of services provided by Industrial Property Agents in the national territory. In Article 5.b) b’) of said analyzed Code of Conduct, it is expressly prohibited for a member to address the client of another member offering their services for files being handled by other members “or that may be presumed to be,” as this conduct is described as unfair. The consequence of a breach of the provisions</w:t>
      </w:r>
    </w:p>
    <w:p>
      <w:r>
        <w:rPr>
          <w:b/>
        </w:rPr>
        <w:t>[Pages 10–12]</w:t>
      </w:r>
    </w:p>
    <w:p>
      <w:r>
        <w:t>is that a member addresses the client of another member offering their services for files that are being handled by other members "or that may be presumed to be," as this conduct is described as unfair. The consequence of a breach of the provisions in this article may lead to the opening of a sanctioning file within the college, which in fact occurred in the present case.</w:t>
      </w:r>
    </w:p>
    <w:p>
      <w:r>
        <w:t>By its nature, the DI understands that article 5.b) b’) of the Code of Conduct limits the freedom of business initiatives of Industrial Property Agents, as this article implies a restriction on advertising, since it prevents an Industrial Property Agent from informing third parties of the services they can alternatively provide to those being provided by the Industrial Property Agent with whom they are currently associated. In summary, this article limits the ability of an Industrial Property Agent to establish contact with potential clients, as it effectively only allows the advertising of one API to potential clients who are not already working with another API.</w:t>
      </w:r>
    </w:p>
    <w:p>
      <w:r>
        <w:t>The DI understands that:</w:t>
        <w:br/>
        <w:t>“(46) In this context, the prohibition of the COAPI Code of Conduct, insofar as it prevents an Industrial Property Agent from 'addressing a potential client mentioning files that are being handled by another Agent or that may be presumed to be,' restricts the freedom of APIs to present offers to their clients and promotes a division of clientele that restricts competition in the market for services provided through Industrial Property Agents. Through this prohibition, the COAPI would be depriving companies that hire the services of Industrial Property Agents of access to more competitive offers regarding files whose representation has been assumed by another member.</w:t>
      </w:r>
    </w:p>
    <w:p>
      <w:r>
        <w:t>(47) The effect of this restriction would be a perpetuation of the commercial relationship between each Agent and their clientele, a perpetuation that would extend even beyond the duration of the procedures for which the client hired the Agent representing them.</w:t>
      </w:r>
    </w:p>
    <w:p>
      <w:r>
        <w:t>(48) In this sense, the files opened by the COAPI against D. […] constitute a good example of the adverse effects on competition of article 5.b) b’) of the Code of Conduct.”</w:t>
      </w:r>
    </w:p>
    <w:p>
      <w:r>
        <w:t>The complainant alleged in their defense that the purpose of this rule was not to restrict the free offering of services among Industrial Property Agents, but to prevent behaviors that, by their nature, undermine the dignity and professional ethics of Industrial Property Agents. The DI cites in its proposal to the Council, for its relevance, the Judgment of the TGUE, in which the professional code of conduct of the Institute of European Agents (IAA), composed of European patent agents acting before the European Patent Office, was analyzed. The object of the litigation was a clause prohibiting comparative advertising among agents. The TGUE, in the judgment of March 28, 2001 (T-144/99) responding to the appealed decision of the Commission (European Commission Decision of April 7, 1999) states:</w:t>
      </w:r>
    </w:p>
    <w:p>
      <w:r>
        <w:t>72. As for the prohibition of comparative advertising as such, provided for in article 2, letter b), point 1, of the code of conduct, it should be noted, first of all, that advertising is an important element of competition in a given market, as it allows for a better appreciation of the merits of each operator, the quality of their services, and their costs.</w:t>
      </w:r>
    </w:p>
    <w:p>
      <w:r>
        <w:t>73. Exercised under fair conditions and according to appropriate modalities, comparative advertising also allows for increased information for users and thus contributes to the choice of the authorized agent to whom they can turn within the Community.</w:t>
      </w:r>
    </w:p>
    <w:p>
      <w:r>
        <w:t>74. Consequently, the outright prohibition of comparative advertising limits the possibilities of the most effective agents to develop their services. This has the effect, in particular, of crystallizing the clientele of each authorized agent within a national market.</w:t>
      </w:r>
    </w:p>
    <w:p>
      <w:r>
        <w:t>75. Thus, the Commission correctly deduced in its Decision the beneficial effects for competition of fair and appropriate comparative advertising (consideration 41) and the restrictions on competition that, on the contrary, the prohibition of any form of such advertising implies (consideration 43).</w:t>
      </w:r>
    </w:p>
    <w:p>
      <w:r>
        <w:t>In the same judgment, the TGUE determined, in paragraph 98, that when the object of a provision "is to prevent an agent from denigrating a colleague by questioning the latter's involvement in a concluded matter when making a service offer to a client," it cannot be concluded that it is contrary to article 85 (now 101) of the TFEU. This precedent leads the Directorate of Investigation to understand that only a prohibition aimed at preventing a member from making derogatory remarks about the actions of a third party during conversations with a client would be compatible with the principle of free competition. In this case, there could be an objective justification for the rule, although this does not occur in the file subject to this resolution, as will be substantiated below.</w:t>
      </w:r>
    </w:p>
    <w:p>
      <w:r>
        <w:t>In the specific case of the current wording of article 5.b) b’) of the Code of Conduct invoked by the COAPI, the Council shares the DI's assessment that this wording contains more restrictions than necessary to achieve the intended purpose, as given the ambiguity of its wording, it could be interpreted as meaning that any service offer from an Agent to a client whose matters have been entrusted to another Agent could be subject to sanction by the COAPI. The opening of sanctioning files processed by the COAPI against the complainant, who established contacts with the aim of concluding commercial relationships with companies that had been represented by another Agent ten years ago, corroborates the previous assessment. Analyzed the complaints opened by the COAPI against the complainant, there is no indication in their content that the COAPI assessed a derogatory intent in them. Therefore, the Council considers that the analyzed conduct could constitute a restrictive decision on competition prohibited by article 1 LDC, which would not be covered by the exemption provided for in article 1.3 of the LDC. In this context, it considers that the requirements are met for this file to be concluded through a conventional termination process as proposed by the DI.</w:t>
      </w:r>
    </w:p>
    <w:p>
      <w:r>
        <w:t>THIRD.- The suitability of the commitments offered</w:t>
      </w:r>
    </w:p>
    <w:p>
      <w:r>
        <w:t>THE COAPI has offered to the DI as a commitment the replacement of the current article 5.b) b’) of the Code of Conduct with a new wording that prohibits: “opining or informing about a matter that is being handled by another colleague, denigrating their intervention.”</w:t>
      </w:r>
    </w:p>
    <w:p>
      <w:r>
        <w:t>In its proposal for conventional termination submitted to the Council, the DI, when assessing the commitments proposed by the complainant, starts from the acceptance that the COAPI has among its purposes “to ensure the ethics and professional dignity and the proper exercise of the functions of APIs,” and that “in line with the precedents of the Commission and the TGUE in this matter, the Directorate of Investigation understands that the approval, by the COAPI, of some mechanism that prevents members from engaging in derogatory behaviors towards other members may be objectively necessary to safeguard the prestige of the profession as well as the exercise of fair competition among its members. Both the safeguarding of the prestige of the profession and the existence of fair competition among members are legitimate purposes that, in themselves, are compatible with free competition.” These assessments are, following the cited precedents, shared by this Council.</w:t>
      </w:r>
    </w:p>
    <w:p>
      <w:r>
        <w:t>However, the ultimate purpose of this resolution is to assess whether the proposed commitments serve, as established by article 52.1 of the LDC, to resolve the effects on competition arising from the behaviors subject to the file in such a way that the public interest is guaranteed. The Council understands that the current wording aims to prevent an API from advertising about a matter being handled by another colleague in a way that denigrates the intervention of that colleague. The concept of “denigratory” is defined in the Law on Unfair Competition, in which article 9 refers to acts of denigration as those that disseminate information that, while not true, relevant, or accurate, is capable of undermining the credit of the person who is the object of such statements. The new text does not restrict the freedom of APIs to contact new clients who have previously been, or are, clients of a competitor, nor does it prevent them from opining or informing objectively about the services that said competitor is offering. The limits imposed by the new text apply when the denigratory aptitude of the advertising comes into play. It is understood that the new text balances the disciplinary power of the COAPI to sanction those behaviors that may tarnish the prestige of the profession of Industrial Property Agent with respect for the principle of free competition among members.</w:t>
      </w:r>
    </w:p>
    <w:p>
      <w:r>
        <w:t>Likewise, the closure of the sanctioning files opened by the COAPI against the complainant, proposed as a commitment by the COAPI on November 3, 2010, contributes to eliminating an anticompetitive effect of the currently in force article 5.b.b’).</w:t>
      </w:r>
    </w:p>
    <w:p>
      <w:r>
        <w:t>For all the reasons stated, the Council shares with the DI that the text proposed by the COAPI to replace the current wording of article 5.b) b’),</w:t>
      </w:r>
    </w:p>
    <w:p>
      <w:r>
        <w:rPr>
          <w:b/>
        </w:rPr>
        <w:t>[Pages 13–14]</w:t>
      </w:r>
    </w:p>
    <w:p>
      <w:r>
        <w:t>commitment by the COAPI on November 3, 2010, contributes to eliminating an anticompetitive effect of the currently in force article 5.b.b’).</w:t>
      </w:r>
    </w:p>
    <w:p>
      <w:r>
        <w:t>For all the reasons stated, the Council agrees with the DI that the text proposed by the COAPI to replace the current wording of article 5.b) b’),</w:t>
      </w:r>
    </w:p>
    <w:p>
      <w:r>
        <w:t>contained in its proposal of November 11, 2010, along with the closure of the sanctioning files opened against the complainant, is compatible with article 1 of the LDC.</w:t>
      </w:r>
    </w:p>
    <w:p>
      <w:r>
        <w:t>FOURTH.- Regarding the allegations of the complainant</w:t>
      </w:r>
    </w:p>
    <w:p>
      <w:r>
        <w:t>The complainant presents in their allegations to the proposal of commitments a series of doubts about them. Thus, they argue that the new text does not specify whether it is necessary to have knowledge of the API that has provided its services to potential clients; that there are no commitments regarding the closure of the disciplinary files opened against them; and that measures should be taken to repair the damage that the disciplinary files opened against them by the COAPI have caused to their professional credit. It should be noted that under the current LDC, the agreement of Conventional Termination is not subordinate to the agreement of the complainants, although this does not prevent such allegations from being taken into account and, if applicable, answered, as the DI has done in its proposal for conventional termination. Regarding the first of these, it interprets that from the proposed text it can be inferred the necessity of knowing the identity of the API that is previously providing services to the client subject to commercial contact, since the denigratory act requires knowledge of the identity of the person who is the object of such an act for its execution. Regarding the other allegations, in its proposal of commitments of November 10, the COAPI has committed to closing the files opened against the complainant, without imposing a sanction. As the DI points out, according to article 27 LDC, all resolutions of the Council of the CNC that conclude sanctioning files will be subject to publicity in the usual terms of the publicity of sanctions. And by virtue of article 23 of the Competition Defense Regulation, these resolutions will be made public on the CNC's website. Likewise, the complainant may request the COAPI to publicize the closure of the sanctioning files opened against them in accordance with the provisions of the statutory regulations of the COAPI. For all these reasons, the Council shares the DI's understanding that these types of measures contribute to repairing the damage caused and, in particular, that the closure of the files initiated against D. […] is made public.</w:t>
      </w:r>
    </w:p>
    <w:p>
      <w:r>
        <w:t>FIFTH.- Regarding the possible non-compliance with the commitments</w:t>
      </w:r>
    </w:p>
    <w:p>
      <w:r>
        <w:t>The Resolution of a sanctioning file of the LDC through Conventional Termination constitutes an exceptional mode of termination by which the administrative procedure is concluded. On one hand, it is an administrative resolution, and at the same time, the interested parties agree to implement the commitments reached, so that the interested parties in the procedure that concludes with this type of resolution are doubly obliged to respect the commitments reached.</w:t>
      </w:r>
    </w:p>
    <w:p>
      <w:r>
        <w:t>The effects of non-compliance with the commitments and obligations established in a conventional termination are provided for in article 39.7 of the Competition Defense Regulation approved by Royal Decree 261/2008, of February 22, which establishes the following:</w:t>
      </w:r>
    </w:p>
    <w:p>
      <w:r>
        <w:t>“7. The non-compliance with the resolution that concludes the procedure through conventional termination will be considered a very serious infringement in accordance with the provisions of article 62.4.c) of Law 15/2007, of July 3, which may also determine the imposition of coercive fines in accordance with the provisions of article 67 of the Competition Defense Law and article 21 of this Regulation, as well as, if applicable, the opening of a sanctioning file for infringement of articles 1, 2 or 3 of Law 15/2007, of July 3.”</w:t>
      </w:r>
    </w:p>
    <w:p>
      <w:r>
        <w:t>In view of the cited provisions and the others of general application, the Council</w:t>
      </w:r>
    </w:p>
    <w:p>
      <w:r>
        <w:t>RESOLVES</w:t>
      </w:r>
    </w:p>
    <w:p>
      <w:r>
        <w:t>FIRST.- To declare the conventional termination of the present sanctioning file S/00203/09 COAPI under the provisions of article 52 of Law 15/2007, of July 3, on Competition Defense, having the commitments proposed by the parties a binding nature regarding their compliance and the effects established in the aforementioned article 52.</w:t>
      </w:r>
    </w:p>
    <w:p>
      <w:r>
        <w:t>SECOND.- The non-compliance with the commitments presented will be considered a very serious infringement according to article 62.4.c) of the LDC and article 39.7 of the RDC.</w:t>
      </w:r>
    </w:p>
    <w:p>
      <w:r>
        <w:t>THIRD.- To entrust the Directorate of Investigation with the monitoring of this Resolution of conventional termination and, therefore, of the proposed commitments and imposed obligations.</w:t>
      </w:r>
    </w:p>
    <w:p>
      <w:r>
        <w:t>This resolution shall be communicated to the Directorate of Investigation and notified to the interested parties, informing them that there is no administrative appeal against it, although they may resort to the contentious-administrative jurisdiction within two months from the day of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