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https://www.cnmc.es/expedientes/s020409</w:t>
      </w:r>
    </w:p>
    <w:p>
      <w:r>
        <w:t>Pages translated : 13</w:t>
      </w:r>
    </w:p>
    <w:p/>
    <w:p>
      <w:r>
        <w:rPr>
          <w:b/>
        </w:rPr>
        <w:t>[Pages 1–3]</w:t>
      </w:r>
    </w:p>
    <w:p>
      <w:r>
        <w:t xml:space="preserve">RESOLUTION  </w:t>
        <w:br/>
        <w:t xml:space="preserve">Expte. S/0204/09 Funeral Insurance  </w:t>
        <w:br/>
        <w:t xml:space="preserve">Council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19, 2010  </w:t>
        <w:br/>
        <w:t xml:space="preserve">The Council of the National Competition Commission, with the composition expressed and being  </w:t>
        <w:br/>
        <w:t xml:space="preserve">the Rapporteur Councilor Mr. Julio Costas Comesaña, has issued the following Resolution in the  </w:t>
        <w:br/>
        <w:t xml:space="preserve">reserved information file S/0204/09, opened by the Directorate of Investigation by virtue of the  </w:t>
        <w:br/>
        <w:t xml:space="preserve">complaint filed by XXX, on their own behalf and on behalf and representation of the  </w:t>
        <w:br/>
        <w:t xml:space="preserve">Neighborhood Association of the historic neighborhood of Marbella, against the insurers “La  </w:t>
        <w:br/>
        <w:t xml:space="preserve">Alianza Española SA de Seguros”, “Ocaso SA Cía. de Seguros y Reaseguros”, “Mapfre SA”,  </w:t>
        <w:br/>
        <w:t xml:space="preserve">“Santa Lucía Compañía de Seguros SA”, “Seguros Vitalicio de España Compañía Anónima de  </w:t>
        <w:br/>
        <w:t xml:space="preserve">Seguros y Reaseguros” and “Meridiano SA”, for alleged prohibited conduct under Law  </w:t>
        <w:br/>
        <w:t xml:space="preserve">15/2007, of July 3, on the Defense of Competition, consisting of the collusion of abusive prices in  </w:t>
        <w:br/>
        <w:t xml:space="preserve">the funeral insurance sector and the hindrance to their clients from changing insurance  </w:t>
        <w:br/>
        <w:t xml:space="preserve">companies.  </w:t>
        <w:br/>
        <w:t xml:space="preserve">FACTUAL BACKGROUND  </w:t>
        <w:br/>
        <w:t xml:space="preserve">1. On November 25, 2009, a written complaint from XXX was received at the Directorate of  </w:t>
        <w:br/>
        <w:t xml:space="preserve">Investigation (DI) of the National Competition Commission (CNC) against the insurers La  </w:t>
        <w:br/>
        <w:t xml:space="preserve">Alianza Española SA de Seguros, Ocaso SA Cía. de Seguros y Reaseguros, Mapfre SA,  </w:t>
        <w:br/>
        <w:t xml:space="preserve">Santa Lucía Compañía de Seguros SA, Seguros Vitalicio de España Compañía Anónima de  </w:t>
        <w:br/>
        <w:t xml:space="preserve">Seguros y Reaseguros and Meridiano SA, for alleged prohibited conduct under Law  </w:t>
        <w:br/>
        <w:t xml:space="preserve">15/2007, of July 3, on the Defense of Competition (LDC), consisting of the collusion of  </w:t>
        <w:br/>
        <w:t xml:space="preserve">abusive prices in the funeral insurance sector and the hindrance to their clients from changing  </w:t>
        <w:br/>
        <w:t xml:space="preserve">insurance companies (folios 1-13).  </w:t>
        <w:br/>
        <w:t xml:space="preserve">The complaint particularly denounces the ninth clause of the policies with the following literal  </w:t>
        <w:br/>
        <w:t xml:space="preserve">text (folio 7):  </w:t>
        <w:br/>
        <w:t xml:space="preserve">“Duration of the insurance  </w:t>
        <w:br/>
        <w:t xml:space="preserve">This insurance is contracted for a period of one month. Upon expiration of this period, it will  </w:t>
        <w:br/>
        <w:t xml:space="preserve">be tacitly extended for one more month, and so on…”  </w:t>
        <w:br/>
        <w:t xml:space="preserve">In the opinion of the complainant, this clause aims to give insurers the opportunity to raise the  </w:t>
        <w:br/>
        <w:t xml:space="preserve">insurance premium every month in an abusive manner. So much so that they do not even give  </w:t>
        <w:br/>
        <w:t xml:space="preserve">the policyholder the opportunity to consent to the premium increase by signing as a sign of  </w:t>
        <w:br/>
        <w:t xml:space="preserve">their consent to specific clauses. Instead, the insurers, unilaterally and abusively increase the  </w:t>
        <w:br/>
        <w:t xml:space="preserve">premium price without the policyholder's consent and in clear abuse of their dominant position  </w:t>
        <w:br/>
        <w:t xml:space="preserve">(folio 12).  </w:t>
        <w:br/>
        <w:t xml:space="preserve">The complainant also indicates that the reported companies increase the premium exponentially  </w:t>
        <w:br/>
        <w:t xml:space="preserve">over the years (as the risk of death increases), so that the largest increases occur after the age  </w:t>
        <w:br/>
        <w:t xml:space="preserve">of 60 (folio 3), at which point the elderly cannot turn to another company, as they are not  </w:t>
        <w:br/>
        <w:t xml:space="preserve">accepted (folio 8).  </w:t>
        <w:br/>
        <w:t xml:space="preserve">Since funeral insurance is being treated as risk insurance, not personal insurance, and therefore  </w:t>
        <w:br/>
        <w:t xml:space="preserve">not as life insurance (folio 10), it is not capitalizable, redeemable, or transferable (folio 8).  </w:t>
        <w:br/>
        <w:t xml:space="preserve">The result of the contract's clauses is a captive client, as when they realize the high increases in  </w:t>
        <w:br/>
        <w:t xml:space="preserve">premiums, they have already paid a very high amount and, as the companies do not comply with  </w:t>
        <w:br/>
        <w:t xml:space="preserve">the obligations imposed by life insurance law, the insurance cannot be redeemed or transferred  </w:t>
        <w:br/>
        <w:t xml:space="preserve">to another entity (folio 11).  </w:t>
        <w:br/>
        <w:t xml:space="preserve">2. In order to clarify the reported facts, the DI initiated a reserved information period during  </w:t>
        <w:br/>
        <w:t xml:space="preserve">which it requested, on December 16, 2009, information from the complainant regarding the  </w:t>
        <w:br/>
        <w:t xml:space="preserve">characteristics of the signed contracts as well as the communications sent by the insurance  </w:t>
        <w:br/>
        <w:t xml:space="preserve">companies to the policyholders (folios 14-15). On January 29 and February 26, 2010, this  </w:t>
        <w:br/>
        <w:t xml:space="preserve">request for information was reiterated (folios 195 and 226), without receiving a response.  </w:t>
        <w:br/>
        <w:t xml:space="preserve">On December 21, the DI requested from the Association of insurance entities “Cooperative  </w:t>
        <w:br/>
        <w:t xml:space="preserve">Research between Insurance Entities and Pension Funds (ICEA) a copy of the Economic Report  </w:t>
        <w:br/>
        <w:t xml:space="preserve">of the insurance sector as of December 2008 and September 2009 (folio 17). On the same date,  </w:t>
        <w:br/>
        <w:t xml:space="preserve">a copy of the report on the evolution of the insurance market in 2007 was delivered (folios  </w:t>
        <w:br/>
        <w:t xml:space="preserve">19-181) and loose copies regarding the ranking situation of funeral insurance in 2008 (folios  </w:t>
        <w:br/>
        <w:t xml:space="preserve">182-194).  </w:t>
        <w:br/>
        <w:t xml:space="preserve">On February 4, 2010, the DI requested from the General Directorate of Insurance and Pension  </w:t>
        <w:br/>
        <w:t xml:space="preserve">Funds (DGSFP) information on the regulation of funeral insurance in Spain, the characteristics  </w:t>
        <w:br/>
        <w:t xml:space="preserve">of the different categories of products, the market situation, and the market shares of the main  </w:t>
        <w:br/>
        <w:t xml:space="preserve">insurers (folios 200-201). On February 17, the response from the DGSFP was received (folios  </w:t>
        <w:br/>
        <w:t xml:space="preserve">205-225).  </w:t>
        <w:br/>
        <w:t xml:space="preserve">On March 24, 2010, the DI requested from the 6 reported insurers information on the types of  </w:t>
        <w:br/>
        <w:t xml:space="preserve">funeral insurance offered, the company's pricing policy, the annual amount of premiums paid by  </w:t>
        <w:br/>
        <w:t xml:space="preserve">a 30 and 60-year-old insured, as well as the information provided to a future policyholder of a  </w:t>
        <w:br/>
        <w:t xml:space="preserve">funeral insurance (folios 323-349). On April 9, 12, 13, 15, and 16, responses were received  </w:t>
        <w:br/>
        <w:t xml:space="preserve">from Meridiano (folios 376-442), Ocaso (folios 443-462), Banco Vitalicio (folios 463-518),  </w:t>
        <w:br/>
        <w:t xml:space="preserve">Santa Lucía (folios 519-662), Mapfre (folios 667-833), and La Alianza Española (folios  </w:t>
        <w:br/>
        <w:t xml:space="preserve">834-930).  </w:t>
        <w:br/>
        <w:t xml:space="preserve">On April 13, 2010, the DI requested from the DGSFP certain clarifications on the report sent on  </w:t>
        <w:br/>
        <w:t xml:space="preserve">February 17 (folio 663). On April 16, the response from the DGSFP was received (folios  </w:t>
        <w:br/>
        <w:t xml:space="preserve">931-940).  </w:t>
        <w:br/>
        <w:t xml:space="preserve">3. The complainant is XXX, on their own behalf, as the policyholder of a funeral insurance from  </w:t>
        <w:br/>
        <w:t xml:space="preserve">the company MAPFRE and the Neighborhood Association of the historic neighborhood of  </w:t>
        <w:br/>
        <w:t xml:space="preserve">Marbella, represented by XXX.  </w:t>
        <w:br/>
        <w:t xml:space="preserve">The following insurance companies have been reported:  </w:t>
        <w:br/>
        <w:t xml:space="preserve">La Alianza Española Sociedad Anónima de Seguros. Established in 1931 as a medical-surgical  </w:t>
        <w:br/>
        <w:t xml:space="preserve">and pharmaceutical mutual, in 1943 it expanded its commercial purpose focusing primarily on  </w:t>
        <w:br/>
        <w:t xml:space="preserve">the funeral sector. Currently, it has around XXX insured and presents a billing close to XXX  </w:t>
        <w:br/>
        <w:t xml:space="preserve">euros.  </w:t>
        <w:br/>
        <w:t xml:space="preserve">Ocaso S.A. Compañía de Seguros y Reaseguros. Founded in 1920, it is now the head of a group of  </w:t>
        <w:br/>
        <w:t xml:space="preserve">insurance, financial, and service companies. In 2008, its billing volume rose to XXX euros.  </w:t>
        <w:br/>
        <w:t xml:space="preserve">Mapfre S.A. Established in 1933 by the Association of Owners of Rural Properties of Spain, it is  </w:t>
        <w:br/>
        <w:t xml:space="preserve">currently listed on the Madrid and Barcelona Stock Exchanges and operates in 44 countries. In  </w:t>
        <w:br/>
        <w:t xml:space="preserve">2008, the volume of premiums issued by the group rose to XXX euros and total billing exceeded  </w:t>
        <w:br/>
        <w:t xml:space="preserve">XXX euros.  </w:t>
        <w:br/>
        <w:t xml:space="preserve">Santa Lucía S.A. Compañía de Seguros y Reaseguros. Founded in 1922, until the 1960s this  </w:t>
        <w:br/>
        <w:t xml:space="preserve">company exclusively marketed funeral insurance. Since then, it has begun to open up to other  </w:t>
        <w:br/>
        <w:t xml:space="preserve">insurance markets. At the end of 2008, it had a total volume of XXX policies with a premium  </w:t>
        <w:br/>
        <w:t xml:space="preserve">volume close to XXX euros.  </w:t>
        <w:br/>
        <w:t xml:space="preserve">Seguros Vitalicio de España Compañía Anónima de Seguros y Reaseguros. Established in  </w:t>
        <w:br/>
        <w:t xml:space="preserve">1897 as a result of the merger of the insurance companies Banco Vitalicio de Cataluña and La  </w:t>
        <w:br/>
        <w:t xml:space="preserve">Previsión, it is part of Grupo Generali. In 2008, the company's business volume rose to XXX  </w:t>
        <w:br/>
        <w:t xml:space="preserve">euros.  </w:t>
        <w:br/>
        <w:t xml:space="preserve">Meridiano S.A. Founded in 1966 as a company specialized in the funeral sector, it has been  </w:t>
        <w:br/>
        <w:t xml:space="preserve">expanding its activity with the marketing of new products in the insurance sector. Currently, it  </w:t>
        <w:br/>
        <w:t xml:space="preserve">has more than XXX insured and has more than XXX euros in own resources.  </w:t>
        <w:br/>
        <w:t xml:space="preserve">4. On May 25, 2010, in compliance with the provisions of Article 49.3 of the LDC and Article 27 of  </w:t>
        <w:br/>
        <w:t xml:space="preserve">RD 261/2008, which approves the Regulation on the Defense of Competition (RDC), and in view of  </w:t>
        <w:br/>
        <w:t xml:space="preserve">the complaint and the actions taken, the DI submitted to this Council a Proposal for filing in  </w:t>
        <w:br/>
        <w:t xml:space="preserve">which it proposes not to initiate the sanctioning procedure, as well as the filing of the actions  </w:t>
        <w:br/>
        <w:t xml:space="preserve">taken as a consequence of the complaint filed by XXX and the Neighborhood Association of the  </w:t>
        <w:br/>
        <w:t xml:space="preserve">historic neighborhood of Marbella, considering that there are no indications of infringement of the  </w:t>
        <w:br/>
        <w:t xml:space="preserve">aforementioned Law. For these purposes, the DI forwards to the Council the complaint and the  </w:t>
        <w:br/>
        <w:t xml:space="preserve">actions taken by that Directorate.  </w:t>
        <w:br/>
        <w:t xml:space="preserve">5. In the DI's Proposal for Filing, the following facts are considered proven:  </w:t>
        <w:br/>
        <w:t xml:space="preserve">“1.- According to the information provided by the DGSFP, there are several categories of  </w:t>
        <w:br/>
        <w:t xml:space="preserve">funeral insurance depending on the selection criteria (folios 211-213). From the perspective of  </w:t>
        <w:br/>
        <w:t xml:space="preserve">the benefits guaranteed in the policies, it is not easy to determine a single classification because,  </w:t>
        <w:br/>
        <w:t xml:space="preserve">depending on the insurance entity, the policies usually include other additional coverages such as  </w:t>
        <w:br/>
        <w:t>accidents, legal defense, and assistance.</w:t>
      </w:r>
    </w:p>
    <w:p>
      <w:r>
        <w:rPr>
          <w:b/>
        </w:rPr>
        <w:t>[Pages 4–6]</w:t>
      </w:r>
    </w:p>
    <w:p>
      <w:r>
        <w:t>From the perspective of premium calculation, there are fundamentally three categories of products in the Spanish insurance market:</w:t>
      </w:r>
    </w:p>
    <w:p>
      <w:r>
        <w:t>a) Natural premium: the premium is strongly determined by the probability of death at the time of payment of each annual premium. Thus, for the same insured amount, if at the time of subscribing the policy the insured is young, the premium is low, and if they are an adult, it is higher. In subsequent renewals, the premium increases with age. This pricing method does not retain the customer, in the sense that if they are 50 years old, they will pay in insurer X the premium corresponding to the probability of death at 50 years, and if they change entities, the natural premium will also be calculated considering that same probability.</w:t>
      </w:r>
    </w:p>
    <w:p>
      <w:r>
        <w:t>b) Level premium: for the same insured amount, the premium remains either constant in annual renewals, or its variation over the years is established based on a previously determined rate (for example, a geometric progression) that does not relate to the increase in the probability of death. The pricing assumes a long-term contractual relationship with the insured (for the rest of their life). In this type of policy, the insurer waives their right to oppose the renewal, so the policy would be annually renewable for the entire life of the policyholder or until they wish. For young ages at the time of subscription, the premium is higher than that of natural premium products, but for older ages, it is lower. This pricing method retains those insured who contracted when they were young and have already begun to consume the provision they generated.</w:t>
      </w:r>
    </w:p>
    <w:p>
      <w:r>
        <w:t>c) Semi-natural premium: a combination of the previous ones, as while the insured is young, the premium increases, as in natural premium products. From a certain age, it remains constant. It is common practice to price at pure premium until the age of 50 and from there at level premium.</w:t>
      </w:r>
    </w:p>
    <w:p>
      <w:r>
        <w:t>All of the above refers to a constant insured amount. If the cost of funeral services changes, for the calculation of the new premium, the age of the insured at that moment will be taken into account. The modification of the contract that occurs must be communicated to the policyholder for their acceptance. If they do not accept it, the policy would be underinsured, indemnifying the insurer, in the event of a claim, in the same proportion that the insured amount covers the insured interest.</w:t>
      </w:r>
    </w:p>
    <w:p>
      <w:r>
        <w:t>2.- Variety characterizes the contracts offered by the reported companies. Thus, some [CONFIDENTIAL] market products with the three types of premiums (folios 376-377; 470; 519), while others [CONFIDENTIAL] offer insurance with two types of premiums (folios 443, 445, 670, 836). For individuals of advanced age (over 60-70 years) who are not allowed to sign a contract with the previous policies, some companies [CONFIDENTIAL] offer a single premium modality (folios 448, 469, 672).</w:t>
      </w:r>
    </w:p>
    <w:p>
      <w:r>
        <w:t>The guarantees covered by each contract are also varied. All include basic guarantees and other complementary and optional guarantees that are more or less extensive (folios 376, 443-444, 463-464, 519-520, 667-669, 845, 851, 857).</w:t>
      </w:r>
    </w:p>
    <w:p>
      <w:r>
        <w:t>The duration of the contracts is practically identical: annual, renewable for periods of the same duration. Only one company [CONFIDENTIAL] markets one of the three products it offers with a monthly duration, renewable for equal periods (folio 835). All the analyzed companies grant the policyholder the practically exclusive ability to oppose the renewal of the contract in most products. There are some exceptions where the insurance company can also oppose the renewal (folios 669 and 836). In general, the insurer may terminate the contracts only for non-payment or inaccurate declaration of the insured's personal circumstances that may affect the assessment of the covered risk.</w:t>
      </w:r>
    </w:p>
    <w:p>
      <w:r>
        <w:t>Regarding the modification of premiums, the reported companies indicate that they vary depending on the cost of funeral services and/or the age of the insured depending on the type of premium. If the insured does not accept the new premium, they will bear any excess cost over the contracted value (folios 378, 445, 520, 670-671, 836-837). Some companies [CONFIDENTIAL] provide for the automatic annual revaluation of the insured capital with the consent of the insured (folios 466, 671). Another company [CONFIDENTIAL] indicates that the policies issued since the entry into force of the ROSSP incorporate an annual update rate of 3% (folio 445). Another company [CONFIDENTIAL] contemplates in the conditions of the policies an automatic annual revaluation based on the CPI (folios 540, 610).</w:t>
      </w:r>
    </w:p>
    <w:p>
      <w:r>
        <w:t>In relation to the geographical scope of premium setting, three companies [CONFIDENTIAL] establish them at a national level (folios 466, 520, 846-856). Others [CONFIDENTIAL] indicate that it depends on the insured's place of residence (folios 377, 445, 670) although the benefit is provided regardless of the place of death (folios 446, 521, 672, 839), in some cases [CONFIDENTIAL] only if the complementary guarantee of assistance in transfer is contracted (folios 378, 446) and always for the insured value.</w:t>
      </w:r>
    </w:p>
    <w:p>
      <w:r>
        <w:t>The reported companies have provided the annual premiums to be paid by a 30-year-old and a 60-year-old until they reach 80 years for the different types of premiums applied in the contracts they market. All companies except one [CONFIDENTIAL] provide premiums for every 1,000 euros of insured capital. Some companies [CONFIDENTIAL] assume an automatic revaluation of the insured amounts of between 2-3% (folios 383-385, 387-389, 467, 446, 674-678, 680-682). Given the heterogeneity of the data provided, it is difficult to conduct a rigorous analysis of them. However, efforts have been made to homogenize, as much as possible, the information provided. Thus, a level premium that was presented by all companies has been selected, and an initially insured capital of 1,000 euros has been chosen as it was provided by the majority of the companies. In the case of the company that presented an initial insured capital of 2,778 euros, the premium has been proportionally reduced in the first year. From there, the variation rate resulting from the premiums provided by the company for the capital they started with has been applied to the previous year's premium. The results obtained with the previous hypotheses are presented in the Annex.</w:t>
      </w:r>
    </w:p>
    <w:p>
      <w:r>
        <w:t>From the tables, the following can be inferred:</w:t>
        <w:br/>
        <w:t>- The annual premium of the different companies in the first year differs.</w:t>
      </w:r>
    </w:p>
    <w:p>
      <w:r>
        <w:t>- The variation rate of the annual premium charged by the different companies in subsequent years follows different patterns. Some premiums experience increasing variation rates over the years, others grow until a certain year and then decrease, and finally, a third group experiences a decreasing rate throughout the period.</w:t>
      </w:r>
    </w:p>
    <w:p>
      <w:r>
        <w:t>3.- According to the Reports of the Complaints Service of the DGSFP published on its website, the following complaints were filed in the funeral insurance sector (folios 239-322):</w:t>
      </w:r>
    </w:p>
    <w:p>
      <w:r>
        <w:t>COMPLAINTS IN THE FUNERAL INSURANCE SECTOR</w:t>
        <w:br/>
        <w:t>2007 2008 2009 (1st sem)</w:t>
        <w:br/>
        <w:t>No. % No. % No. %</w:t>
        <w:br/>
        <w:t>Initiated</w:t>
        <w:br/>
        <w:t>a) Deaths 125 4.15 148 3.76 106 4.36</w:t>
        <w:br/>
        <w:t>b) Total insurance 3,013 3,933 2,430</w:t>
        <w:br/>
        <w:t>Resolved</w:t>
        <w:br/>
        <w:t>a) Deaths by subject of complaint 135 100.00 94 100.00 78 100.00</w:t>
        <w:br/>
        <w:t>Contract modifications; premium increase 58 42.96 39 41.49 25 32.05</w:t>
        <w:br/>
        <w:t>Divergence in policy interpretation 41 30.37 28 29.79 22 28.21</w:t>
        <w:br/>
        <w:t>Capital and insured amounts 14 10.37 12 12.77 15 19.23</w:t>
        <w:br/>
        <w:t>Contract duration. Requirements for opposing renewal 6 4.44 2 2.56</w:t>
        <w:br/>
        <w:t>Non-payment of indemnity 5 3.70</w:t>
        <w:br/>
        <w:t>Declaration of risk by the policyholder 3 2.22 3 3.85</w:t>
        <w:br/>
        <w:t>Non-payments of premium 6 6.38 8 10.26</w:t>
        <w:br/>
        <w:t>Others 8 5.93 9 9.57 3 3.85</w:t>
        <w:br/>
        <w:t>b) Resolved total insurance 2,880 2,990 1,762</w:t>
        <w:br/>
        <w:t>Source: own elaboration based on DGSFP Complaints Service</w:t>
      </w:r>
    </w:p>
    <w:p>
      <w:r>
        <w:t>The main cause of conflict lies in the increase in premiums that occurs as the age of the insured increases, the cost of the services offered, and the incorporation of new services or benefits that the insured have not requested, such as psychological care.</w:t>
      </w:r>
    </w:p>
    <w:p>
      <w:r>
        <w:t>4.- In the same reports from the previous section, the DGSFP includes a chapter called "Market Practices" which includes those actions that have been considered not to comply with regulations or with good practices and financial usages that must govern the contracting of insurance and pension plans (folios 257-263; 289-292). Once detected by the Complaints Service, such actions are communicated to the corresponding bodies of the inspection services.</w:t>
      </w:r>
    </w:p>
    <w:p>
      <w:r>
        <w:t>In the funeral insurance sector, some of the detected practices are related to the communication to the insured of new coverages that have not been requested, and the corresponding increase in premium (folio 291).</w:t>
      </w:r>
    </w:p>
    <w:p>
      <w:r>
        <w:t>5.- In a complaint filed by an insured before the DGSFP in 2008, which considered a 23% premium increase by the company La Fe SA for capital update to be abusive, the complaints service considered that the entity's action had complied with the regulations, as it proposed to the claimant not to increase the premium and, consequently, the insured capital (folio 288).</w:t>
      </w:r>
    </w:p>
    <w:p>
      <w:r>
        <w:rPr>
          <w:b/>
        </w:rPr>
        <w:t>[Pages 7–9]</w:t>
      </w:r>
    </w:p>
    <w:p>
      <w:r>
        <w:t>6.- The criterion of the DGSFP regarding the increase of premiums in funeral insurance is as follows (folios 216-218). By virtue of the principle of freedom of competition, the Administration cannot intervene in the amount of premiums, as long as they comply with the provisions of the regulatory legislation. In funeral insurance, the modification of premiums may be generated by various factors, among which the age of the insured and the increase in the cost of the service stand out. Therefore, Article 79 of the ROSSP requires that premium rates reflect changes in the insurer's coverage in response to changes in the cost of the service, as well as the use of techniques analogous to those of life insurance; which implies, among other aspects, also taking into account the age of the insured to calculate the amount of the premium. In this context, when the insurance entity intends to increase the premium, it must respect the expiration of the contract, and must communicate in writing two months prior to its expiration. If the insured does not accept the increase, the contract remains under the initial conditions and, if a claim occurs, the excess cost not covered by the policy is the responsibility of the insured.</w:t>
      </w:r>
    </w:p>
    <w:p>
      <w:r>
        <w:t>7.- The criterion of the DGSFP regarding the maintenance of acquired rights in funeral insurance is as follows (folios 215-216). In the case of subscribing to a new insurance contract, in principle, the acquired rights or the conditions stipulated in the previous policy would be lost, as the regulatory legislation of private insurance activity does not establish the obligation of the insurer to maintain the conditions stipulated in a previous policy subscribed with a different insurance entity. All the reported companies have indicated that for the calculation of premiums they do not take into account either the existence of policies subscribed previously with another company or the contracting of other insurances with another entity (folios 378, 446, 467, 521, 671).</w:t>
      </w:r>
    </w:p>
    <w:p>
      <w:r>
        <w:t>8.- The complainant sends the details of the average premium increase made by two different insurance companies to two associates in Marbella, with the age of the policyholder, the type of premium, and its periodicity being unknown (folio 4).</w:t>
      </w:r>
    </w:p>
    <w:p>
      <w:r>
        <w:t>PREMIUMS OF TWO POLICYHOLDERS</w:t>
        <w:br/>
        <w:t>Meridiano Alianza Española</w:t>
        <w:br/>
        <w:t>Year</w:t>
        <w:br/>
        <w:t>Quota Increase Quota Increase</w:t>
        <w:br/>
        <w:t>1999 16.53 16.99</w:t>
        <w:br/>
        <w:t>2000 17.88 8.17% 18.64 9.71%</w:t>
        <w:br/>
        <w:t>2001 19.41 8.56% 19.86 6.55%</w:t>
        <w:br/>
        <w:t>2002 20.24 4.28% 21.24 6.95%</w:t>
        <w:br/>
        <w:t>2003 21.50 6.23% 22.13 4.19%</w:t>
        <w:br/>
        <w:t>2004 34.30 59.53% 25.12 13.51%</w:t>
        <w:br/>
        <w:t>2005 56.43 64.52% 46.12 83.60%</w:t>
        <w:br/>
        <w:t>2006 62.21 10.24% 49.75 7.87%</w:t>
        <w:br/>
        <w:t>2007 69.41 11.57% 51.78 4.08%</w:t>
        <w:br/>
        <w:t>2008 77.63 11.84% 55.44 7.07%</w:t>
        <w:br/>
        <w:t>2009 81.45 4.92% 61.34 10.64%</w:t>
        <w:br/>
        <w:t>Source: Complaint</w:t>
      </w:r>
    </w:p>
    <w:p>
      <w:r>
        <w:t>From the table, it is evident that during the years 2004 and 2005 there was a significant increase in the premiums paid. A reported company [MERIDIANO] indicates that the Marbella City Council approved an increase in the cemetery service fees in September 2004, which was published in the Official Gazette of the province of Málaga on December 7, 2004 (folios 440-442) with effect from January 1, 2005. The previous fees dated from January 1, 1990 (folios 942-945). Some of the homogeneous concepts in both provisions are reflected in the following table:</w:t>
      </w:r>
    </w:p>
    <w:p>
      <w:r>
        <w:t>FEES FOR CEMETERY SERVICES IN MARBELLA (euros)</w:t>
        <w:br/>
        <w:t>Fee variation</w:t>
        <w:br/>
        <w:t>Concept 01/01/1990 01/01/2005</w:t>
        <w:br/>
        <w:t>(%)</w:t>
        <w:br/>
        <w:t>Niche burial license 6.01 47.00 682.03</w:t>
        <w:br/>
        <w:t>Exhumation license within cemetery 6.01 39.00 548.92</w:t>
        <w:br/>
        <w:t>Cremation of corpse 318.54 715.00 124.46</w:t>
        <w:br/>
        <w:t>Viewing room 96.16 238.00 147.50</w:t>
        <w:br/>
        <w:t>Ashes reduction 30.05 65.00 116.31</w:t>
        <w:br/>
        <w:t>Niche maintenance 6.01 12.00 99.67</w:t>
        <w:br/>
        <w:t>Source: Own elaboration based on Fiscal Ordinance No. 1-06 Regulating the fees for cemetery services in Marbella</w:t>
      </w:r>
    </w:p>
    <w:p>
      <w:r>
        <w:t>9.- According to the information provided by the DGSFP, there are 70 companies authorized to operate in the funeral branch in Spain, regardless of whether they actually operate or not (folios 219 and 932). Of those that actually provided service in Spain in the years 2007-2009, the most important are reflected in the following table:</w:t>
      </w:r>
    </w:p>
    <w:p>
      <w:r>
        <w:t>FUNERAL INSURANCE: MAIN COMPANIES AND POLICIES</w:t>
        <w:br/>
        <w:t>2007 2008 2009</w:t>
        <w:br/>
        <w:t>Company Policies Policies Policies</w:t>
        <w:br/>
        <w:t>Premiums (€) % % Premiums (€) % % Premiums (€) % %</w:t>
        <w:br/>
        <w:t>(nº) (nº) (nº)</w:t>
        <w:br/>
        <w:t>Santa Lucía 517,774,301 34.87 2,456,763 31.85 542,607,623 34.98 2,475,835 33.25 570,944,714 34.82 2,481,759 33.58</w:t>
        <w:br/>
        <w:t>Ocaso 318,602,553 21.45 1,814,895 23.53 330,952,988 21.33 1,830,036 24.58 344,210,784 20.99 1,842,646 24.93</w:t>
        <w:br/>
        <w:t>Mapfre 234,503,675 15.79 1,028,192 13.33 239,435,437 15.43 1,001,533 13.45 248,700,823 15.17 961,868 13.01</w:t>
        <w:br/>
        <w:t>Preventiva 62,670,039 4.22 286,989 3.72 65,770,522 4.24 67,914,989 4.14</w:t>
        <w:br/>
        <w:t>Almudena 48,786,152 3.29 283,111 3.67 50,919,054 3.28 283,532 3.81 52,859,610 3.22 284,399 3.85</w:t>
        <w:br/>
        <w:t>Nortehispana 44,194,340 2.98 244,546 3.17 46,386,552 2.99 235,245 3.16 48,890,460 2.98 242,641 3.28</w:t>
        <w:br/>
        <w:t>DKV 35,427,312 2.39 193,279 2.51 38,464,309 2.48 203,293 2.73 42,066,807 2.57 216,367 2.93</w:t>
        <w:br/>
        <w:t>La Alianza Española 34,820,658 2.34 180,934 2.35 36,464,450 2.35 177,803 2.39 35,848,657 2.19 174,295 2.36</w:t>
        <w:br/>
        <w:t>Previsora Bilbaína 27,465,358 1.85 170,931 2.22 28,761,644 1.85 171,278 2.30 29,604,483 1.81 168,025 2.27</w:t>
        <w:br/>
        <w:t>Meridiano 24,739,916 1.67 137,237 1.78 25,578,103 1.65 139,866 1.88 26,810,342 1.64 142,628 1.93</w:t>
        <w:br/>
        <w:t>Aresa 20,628,443 1.39 81,004 1.05 21,052,730 1.36 78,622 1.06 21,373,105 1.30 76,449 1.03</w:t>
        <w:br/>
        <w:t>Atocha 15,043,624 1.01 77,955 1.01 16,048,614 1.03 78,930 1.06 16,653,941 1.02 82,970 1.12</w:t>
        <w:br/>
        <w:t>La Fe 13,918,456 0.94 79,981 1.04 17,372,554 1.12 103,866 1.40 20,448,115 1.25 105,377 1.43</w:t>
        <w:br/>
        <w:t>Purísima Concepción 14,422,697 0.88</w:t>
        <w:br/>
        <w:t>Asociación Europea 10,363,909 0.70 62,237 0.81 11,448,470 0.74 60,778 0.82 11,452,776 0.70</w:t>
        <w:br/>
        <w:t>Eterna Aseguradora 9,124,846 0.61 59,759 0.77 9,467,572 0.61 61,495 0.83 10,137,401 0.62 60,145 0.81</w:t>
        <w:br/>
        <w:t>Banco Vitalicio 8,830,019 0.59 58,130 0.75 10,764,821 0.69 66,593 0.89 13,292,159 0.81 81,203 1.10</w:t>
        <w:br/>
        <w:t>Others 58,098,438 3.91 496,622 6.44 59,797,547 3.85 476,757 6.40 63,964,364 3.90 470,199 6.36</w:t>
        <w:br/>
        <w:t>TOTAL 1,484,992,041 100.00 7,712,565 100.00 1,551,292,990 100.00 7,445,462 100.00 1,639,596,229 100.00 7,390,971 100.00</w:t>
        <w:br/>
        <w:t>Source: Own elaboration based on the General Directorate of Insurance and Pension Funds (folios 220-222)</w:t>
      </w:r>
    </w:p>
    <w:p>
      <w:r>
        <w:t>The table shows a growth in the volume of premiums in 2008 and 2009, accompanied by a decrease in the number of policies, which is mainly due to the updating of the insured sums. The approximately 7.4 million active policies cover more than 20 million insured individuals according to information from the MAPFRE company [See "The Spanish insurance market in 2008" published by the Mapfre Foundation in July 2009 (p. 52)] and from the DGSFP itself (folio 229).</w:t>
      </w:r>
    </w:p>
    <w:p>
      <w:r>
        <w:t>6. The Council of the National Competition Commission deliberated and issued this Resolution in its meeting of July 14, 2010.</w:t>
      </w:r>
    </w:p>
    <w:p>
      <w:r>
        <w:t>LEGAL GROUNDS</w:t>
        <w:br/>
        <w:t>First.- Object of the file</w:t>
        <w:br/>
        <w:t>Article 49.3 of the LDC provides that the Council, at the proposal of the Investigation Directorate, may agree not to initiate sanctioning proceedings for the alleged commission of the prohibited conducts in Articles 1, 2, and 3 of the aforementioned Law and, consequently, the filing of the actions carried out by the DI when it considers that there are no indications of infringement. Article 25.1 of the RDC, regarding the initiation of sanctioning proceedings, provides that it shall always be done ex officio by the DI, by virtue of its own initiative, by complaint, or at the initiative of the Council of the National Competition Commission. Number 5 of this regulatory provision adds that the formulation in the form of a complaint does not bind the DI to initiate a sanctioning procedure, and that the resolution of the Council to file the actions must indicate the reasons why the initiation of the procedure is not appropriate in accordance with Article 49 of the LDC, which shall be communicated to the complainant. According to what is stated in the Background of Fact (AH) 4 of this Resolution, the DI concluded the actions proposing to the Council the non-initiation of sanctioning proceedings, as well as the filing of the same, considering that there were no indications of infringement of the LDC.</w:t>
      </w:r>
    </w:p>
    <w:p>
      <w:r>
        <w:t>Second.- Characteristics of funeral insurance</w:t>
        <w:br/>
        <w:t>Article 6 of Royal Legislative Decree 6/2004, of October 29, which approves the consolidated text of the Law on the regulation and supervision of private insurance (TRLOSSP) includes within the branches of direct insurance other than life insurance the branch of funeral insurance. In its section 1.a).19 it defines it as that which includes insurance operations that guarantee only benefits in the event of death, when these benefits are provided in kind or when their amount does not exceed the average value of funeral expenses for a death. The Law 50/1980, of October 8, on Insurance Contracts (LCS) does not contain, however, a regulation of the specific contract of funeral insurance either in its Title II (insurance against damages) or in its Title III (personal insurance). According to the information provided by the DGSFP, traditionally, despite its inherent risk falling on the existence of individuals, it has been considered as damage insurance and not as personal insurance due to its peculiar characteristics of service provision and because it responds to the indemnity principle. Therefore, the rights and obligations of the parties are the general ones of damage insurance (folio 213). The DGSFP indicates that this law is in the process of reform, having proposed the specific regulation of this insurance within personal insurance. Thus, in its opinion, the funeral insurance contract should be defined as a service provision insurance, whereby the insurer is obliged, within the limits established in the Law and in the contract, and in the event of the insured's death, to provide the burial services stipulated in the policy, or alternatively, its cost (folios 208-209).</w:t>
      </w:r>
    </w:p>
    <w:p>
      <w:r>
        <w:rPr>
          <w:b/>
        </w:rPr>
        <w:t>[Pages 10–12]</w:t>
      </w:r>
    </w:p>
    <w:p>
      <w:r>
        <w:t>and “Aseguradora de Vida y Pensiones de la Caixa” for alleged anti-competitive practices in the funeral insurance market.</w:t>
      </w:r>
    </w:p>
    <w:p>
      <w:r>
        <w:t>The Council considers that there are no indications of collusion or abuse of a dominant position by the reported companies in the establishment of funeral insurance premiums. The investigation has not revealed any evidence of agreements or practices that would infringe the prohibitions set forth in Articles 1 and 2 of the LDC.</w:t>
      </w:r>
    </w:p>
    <w:p>
      <w:r>
        <w:t>The Council emphasizes the need for a regulatory framework that promotes competition among insurers, particularly in the funeral insurance sector, and encourages the adoption of insurance policy modalities that facilitate active competition in attracting policyholders while respecting acquired rights under existing policies with other insurers.</w:t>
      </w:r>
    </w:p>
    <w:p>
      <w:r>
        <w:t>For all the above reasons, and in light of the cited provisions and those of general application, the Council of the National Competition Commission has resolved:</w:t>
      </w:r>
    </w:p>
    <w:p>
      <w:r>
        <w:t>SOLE.- Not to initiate sanctioning proceedings and to archive the actions taken as a result of the complaint filed by XXX, on behalf of and representing the Association of residents of the historic neighborhood of Marbella, against the insurers “La Alianza Española SA de Seguros,” “Ocaso SA Cía. de Seguros y Reaseguros,” “Mapfre SA,” and “Aseguradora de Vida y Pensiones de la Caixa.”</w:t>
      </w:r>
    </w:p>
    <w:p>
      <w:r>
        <w:rPr>
          <w:b/>
        </w:rPr>
        <w:t>[Pages 13–13]</w:t>
      </w:r>
    </w:p>
    <w:p>
      <w:r>
        <w:t xml:space="preserve">NATIONAL COMMISSION OF COMPETITION  </w:t>
        <w:br/>
        <w:t xml:space="preserve">“Santa Lucía Insurance Company SA”, “Vitalicio de España Insurance Company Anonymous of Insurance and Reinsurance” and “Meridiano SA”  </w:t>
        <w:b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