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https://www.cnmc.es/expedientes/s020909</w:t>
      </w:r>
    </w:p>
    <w:p>
      <w:r>
        <w:t>Pages translated : 8</w:t>
      </w:r>
    </w:p>
    <w:p/>
    <w:p>
      <w:r>
        <w:rPr>
          <w:b/>
        </w:rPr>
        <w:t>[Pages 1–3]</w:t>
      </w:r>
    </w:p>
    <w:p>
      <w:r>
        <w:t xml:space="preserve">RESOLUTION  </w:t>
        <w:br/>
        <w:t xml:space="preserve">Exp. S/0209/09 VIGILANTES ASOCIADOS AL SERVICIO DE BANCA Y EMPRESAS, S.L. (VASBE)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June 28, 2010  </w:t>
        <w:br/>
        <w:t>The Council of the National Competition Commission (the Council), with the composition expressed and with the Rapporteur being Councilor Ms. María Jesús González López, has issued the following Resolution in the file S/0209/09 Vigilantes Asociados al Servicio de Banca y Empresas, S.L. (VASBE), which arises from the complaint filed by the company Técnicos de Servicios Múltiples, S.L., for alleged conduct prohibited by Law 15/2007, of July 3, on Competition Defense (LDC).</w:t>
      </w:r>
    </w:p>
    <w:p>
      <w:r>
        <w:t xml:space="preserve">I. BACKGROUND  </w:t>
        <w:br/>
        <w:t xml:space="preserve">1. On November 19, 2009, a complaint was received by the Competition Defense Service of the Junta of Castilla y León from the company Técnicos de Servicios Múltiples, S.L. (hereinafter, TSM) against the company Vigilantes Asociados al Servicio de Banca y Empresas, S.L. (VASBE), for alleged conduct prohibited by Law 15/2007, of July 3, on Competition Defense (LDC), consisting of the blocking by VASBE, S.L. of home security equipment when the user requests cancellation due to a change of security company, by entering a code that prevents or delays other companies from carrying out maintenance operations, claiming security reasons, even though the client exempts them in writing from such responsibility and despite the fact that the aforementioned home security equipment is owned by the users.  </w:t>
        <w:br/>
        <w:t xml:space="preserve">2. Although the complaining company, TSM, operates within the Autonomous Community of Castilla y León and the reported facts correspond to specific clients in the province of Salamanca, the reported company VASBE, which operates in the national market, states that it applies the same protocols of action throughout the national territory. Therefore, in accordance with the provisions of Law 1/2002, of February 21, on the Coordination of State and Autonomous Communities' Competence in matters of Competition Defense, on December 7, 2009, the Competition Defense Service of the Junta of Castilla y León forwarded all documentation related to said complaint to the National Competition Commission (CNC), considering that the alleged practice could alter free competition outside the Autonomous Community of Castilla y León.  </w:t>
        <w:br/>
        <w:t xml:space="preserve">3. On February 2, 2010, as a continuation of the actions carried out by the Competition Defense Service of the Junta of Castilla y León and in order to ascertain the reality of the facts to determine if there might be indications of infringement, the Directorate of Investigation agreed to carry out a reserved inquiry, within which it requested information from the complainant regarding the relationship between VASBE and the complainant TSM, the professional activity of each, the security systems sector, the applicable regulations, and, in particular, the operation of Alarm Receiving Centers (hereinafter, CRA) and their functioning, in relation to installation and maintenance companies that do not have their own CRA. The response was received on February 8, 2010.  </w:t>
        <w:br/>
        <w:t xml:space="preserve">4. On April 23, 2010, the Directorate of Investigation requested additional information from the interested parties regarding their activities, commercial relationship, and disagreements between them, main competitors, and a series of technical explanations about home security equipment. Responses were received in the DI on May 3 and 17, 2010.  </w:t>
        <w:br/>
        <w:t xml:space="preserve">5. The DI provides the following description of the parties in its Report and proposal for filing:  </w:t>
        <w:br/>
        <w:t xml:space="preserve">The complaining company, Técnicos de Servicios Múltiples S.L. (TSM), is registered with the Ministry of the Interior, has its registered office in Salamanca, and its scope of operation is limited exclusively to the Autonomous Community of Castilla y León. Its activity consists of the installation and maintenance of security systems for protection against intrusion and closed-circuit television, both for people and property, in companies and individuals.  </w:t>
        <w:br/>
        <w:t xml:space="preserve">TSM is 1% owned by the entity Servicio Técnico Electrónico Setel, S.L., dedicated to the installation and maintenance of antennas, intercoms, networks, telephony, and home automation, and although both are fiscally independent, they are commercially known under the name Grupo Setel.  </w:t>
        <w:br/>
        <w:t>In the past, TSM has connected security systems with VASBE. Currently, TSM connects the security systems it installs to the CRA operated by the company Instalación Técnica, Montajes y Seguridad S.L. (hereinafter ITM) and also maintains some systems connected to the CRA of VASBE, allowing TSM to work simultaneously with various CRA operating companies.</w:t>
      </w:r>
    </w:p>
    <w:p>
      <w:r>
        <w:t xml:space="preserve">The reported company, Vigilantes Asociados al Servicio de Banca y Empresas S.L. (VASBE), has its registered office in Salamanca and is registered in the security companies registry of the Directorate General of the Police. Its scope of operation is nationwide, and its operating protocols are homogeneous throughout the national territory. Its activity involves physical security and protection of assets through the deployment of security guards in facilities and organizations; installation of static security systems, using electronic systems in private and public premises, and Alarm Receiving Center (with attention and handling of alarm activations).  </w:t>
        <w:br/>
        <w:t xml:space="preserve">6. The reported behaviors pertain to the private security services sector, which is primarily regulated by Law 23/1992, of July 30, on Private Security and by Royal Decree 2364/1994, of December 9, which approves the Private Security Regulations. Within this, it pertains to the group of "Alarms and security systems," which according to the description of the DI includes,  </w:t>
        <w:br/>
        <w:t xml:space="preserve">a) The installation and maintenance of various types of security devices, both electronic and physical.  </w:t>
        <w:br/>
        <w:t xml:space="preserve">b) The connection and operation of centers for the reception, verification, and transmission of alarm signals and their communication to the Security Forces and Bodies, as well as the provision of response services whose execution is not the responsibility of said Forces and Bodies.  </w:t>
        <w:br/>
        <w:t xml:space="preserve">Companies with connection and operation services of alarm receiving centers (the so-called CRA), through their operators, offer protection 24 hours a day by receiving, verifying, and processing incidents that arise from the installed systems. They manage a series of codes that allow programming the security systems to adapt them to the needs of each client:  </w:t>
        <w:br/>
        <w:t xml:space="preserve">• Factory code, provided by the distributor of each model of security system. It allows programming the equipment according to each client's installation. According to VASBE, it is advisable to change it for security reasons, as each model of central unit comes with one programmed by the manufacturer for all distributed units (page 51).  </w:t>
        <w:br/>
        <w:t xml:space="preserve">• Installer code. It is entered by the installing/maintaining company of the security system, erasing the factory code and allowing the technical team to access the system's programming (page 51).  </w:t>
        <w:br/>
        <w:t xml:space="preserve">• Master code. It is programmed into the security system for the client, chosen by the client themselves, and generally, it is the client who enters it into the system. With this code, the user can manage the options of the system, that is, connect it, disconnect it, create and change secondary codes, etc.  </w:t>
        <w:br/>
        <w:t xml:space="preserve">• Client code. It is the subscriber number of the receiving center, this number identifies the security system. With this code, no action can be taken on the system (page 155).  </w:t>
        <w:br/>
        <w:t xml:space="preserve">• PC code. It is a numerical or alphanumeric sequence that is entered into the alarm center program of the security system so that there can be no bidirectional communication that does not recognize said code (page 155).  </w:t>
        <w:br/>
        <w:t>Alarm centers are regulated in Section VII of Royal Decree 2364/1994. Article 46 establishes the connection requirements, stating that the company carrying it out must be registered in the corresponding registry and</w:t>
      </w:r>
    </w:p>
    <w:p>
      <w:r>
        <w:rPr>
          <w:b/>
        </w:rPr>
        <w:t>[Pages 4–6]</w:t>
      </w:r>
    </w:p>
    <w:p>
      <w:r>
        <w:t>adapt to the provisions in the articles related to the installation and maintenance of security devices, equipment, and systems. Likewise, Article 47 stipulates that before making the connection, companies operating alarm centers are obliged to instruct the user on the operation of the service, informing them of the technical and functional characteristics of the system and the responsibilities that come with its incorporation.</w:t>
      </w:r>
    </w:p>
    <w:p>
      <w:r>
        <w:t>The Order of April 23, 1997, which specifies certain aspects regarding security companies, in compliance with the Private Security Law and Regulations, establishes the model service lease contract (Annex IV). This contract model must reflect: the parties, the company's registration, the object of the contract, the duration, place, termination and cessation, material means, number and shifts, escort authorization, private escorts, nature and valuation of the objects, description of the installation and the service, custody of keys, applicable regulations, and other clauses (added pages 123 to 140).</w:t>
      </w:r>
    </w:p>
    <w:p>
      <w:r>
        <w:t>7. Regarding market operators, according to the DI, there is a high number of security companies in Spain with Alarm Receiving Centers (CRA), and all of them can provide their services in Castilla y León, as their scope of authorization and operation is national. Furthermore, it is common for connection companies and CRAs to also carry out maintenance and technical assistance services, resolving any breakdowns or failures that may occur. This is the case for the reported company, VASBE. According to the information provided by the parties, for TSM, its competitors in the provision of installation and maintenance services in the Autonomous Community of Castilla y León include, among others: Tes, Provisa, Dicas, Krype Técnicos, VASBE, Barrueco, Investigación y Consulting, Securitas Direct, Prosegur, Niscayad, Desecom, Segursa, Extinza, J.A.S.S., Prevent, Seguravi, Sed, Sistemas Electrónicos Sarabia, and Alarcyl.</w:t>
      </w:r>
    </w:p>
    <w:p>
      <w:r>
        <w:t>For VASBE, its competitors in the installation and maintenance of security systems and connection to CRAs at the national level, in order of importance, are SECURITAS, FICHET, ADT, and PROSEGUR. In the province of Salamanca, VASBE considers TES and KRYPE as its main competitors, with a significant market share, while others have a minimal market share: PROVISA, SETEL (TSM), DICAS, and BARRUECO.</w:t>
      </w:r>
    </w:p>
    <w:p>
      <w:r>
        <w:t>8. In the reserved information procedure, the DI has verified the facts that are summarized below and that have led it to propose the filing of the proceedings:</w:t>
        <w:br/>
        <w:t>a) According to the information provided by VASBE, the client/end user can contract with it the connection of the security system to its CRA, the installation, and maintenance, which includes a surveillance plan, preventive maintenance, and corrective maintenance. There are two contracting options: deposit and service lease. The standard service lease contract specifies what the client can contract: type of service (theft, robbery, fire, etc.), installation and/or maintenance (quarterly checks of bidirectional maintenance), duration and entry into force of the contract, price, termination of the service (for non-payment), as well as other clauses, including that any modification to the agreed terms must be in writing. In the deposit or rental contract, the client is obliged to preserve and care for all security elements (which are defined in a section of the contract) during the deposit or rental period of the first 2 years, after which, once that period has elapsed, they become the owner of the system. According to VASBE, the costs of corrective maintenance due to serious breakdowns in the installation are not included in the annual price of the maintenance contract, nor are the labor or necessary equipment replacements.</w:t>
      </w:r>
    </w:p>
    <w:p>
      <w:r>
        <w:t>b) For the termination of the CRA service contract, according to VASBE, the protocols of action in case of a client's written request for termination of the contract with the company are homogeneous throughout the national territory. When the client requests in writing to terminate the CRA service, it is verified by phone that they are aware of what they have signed, as well as that the client's system has stopped sending signals to VASBE's CRA. Communication between the receiving center and the client is immediately cut off, so the client's equipment continues to function, but without communication with the CRA. Neither the client nor another company can access the programming of the CRA without knowing the installer code.</w:t>
      </w:r>
    </w:p>
    <w:p>
      <w:r>
        <w:t>VASBE explains that the unlocking depends on a telephone line, so, first, an attempt is made to unlock the system from VASBE's CRA, S.L. If this is not possible due to incidents such as excessive noise, answering machines, faxes, commercial data terminals, manipulation of the system by other installing/maintaining companies attempting to reprogram, etc., the client is informed that the unlocking will have to be done in person by a qualified technician from the company. According to VASBE, there is no specific timeframe for processing terminations. However, generally, once the client requests termination in writing, it is usually processed within a period of 2 to 5 days.</w:t>
      </w:r>
    </w:p>
    <w:p>
      <w:r>
        <w:t>c) Regarding the commercial relationship between TSM and VASBE, according to the latter, TSM is an installation company that connected its clients' security systems to VASBE's CRA. Since May 1, 2009, TSM has begun to request terminations of subscribers to the CRA and has hired two people from VASBE's team.</w:t>
      </w:r>
    </w:p>
    <w:p>
      <w:r>
        <w:t>d) The SETEL Group, which includes TSM, has conducted mailing and sent letters in the following terms, "We have hired XXX and XXX, former heads of the Commercial Department of Vasbe. As of May 1, 2009, they will become part of the SETEL Group, directing the Security department and being at your complete disposal to meet your needs in Security Installations in all its areas. Both XXX and XXX will maintain personalized attention and customer orientation service, as they have demonstrated in their professional careers. This move reflects SETEL's clear commitment to personalized security services, even being able to transfer the services that they may have to our company AT NO ADDITIONAL COST."</w:t>
      </w:r>
    </w:p>
    <w:p>
      <w:r>
        <w:t>e) According to information provided by both TSM and VASBE, in 2009, a significant number of clients have terminated their contracts with VASBE's CRA and have connected to ITM's CRA. VASBE states that in those changes, 35% had their system unlocked without the need for a technician's physical presence, 19% were terminated without unlocking, and 46% did not have a bidirectional system with VASBE, making physical unlocking necessary.</w:t>
      </w:r>
    </w:p>
    <w:p>
      <w:r>
        <w:t>f) TSM claims that it has had to assume, for clients wishing to terminate their relationship with VASBE, the costs derived from changing the panels of the clients' systems to program them and connect them to another company's system, in this case, ITM. It provides documents prepared by its technical department regarding changes to blocked panels that would have been assumed by TSM and not by the clients.</w:t>
      </w:r>
    </w:p>
    <w:p>
      <w:r>
        <w:t>g) VASBE, for its part, states that in the change of service provider, it is common practice (and not a specific problem of TSM with VASBE) that the company seeking to attract a client from another assumes the total cost of unlocking or changing the panel.</w:t>
      </w:r>
    </w:p>
    <w:p>
      <w:r>
        <w:t>9. In its Report and Proposal for Resolution, submitted to the Council on May 27, 2010, the DI proposes not to initiate the sanctioning procedure, as well as to file the proceedings, considering that the reported facts do not indicate any infringement of Law 15/2007.</w:t>
      </w:r>
    </w:p>
    <w:p>
      <w:r>
        <w:t>10. The Council of the National Competition Commission deliberated and issued this Resolution in its meeting of June 23, 2010.</w:t>
      </w:r>
    </w:p>
    <w:p>
      <w:r>
        <w:t>LEGAL GROUNDS</w:t>
      </w:r>
    </w:p>
    <w:p>
      <w:r>
        <w:t>FIRST.- Article 49.3 of the Competition Defense Law (LDC) stipulates that the Council of the National Competition Commission, at the proposal of the DI, may agree not to initiate proceedings arising from the alleged commission of the prohibited behaviors set forth in Articles 1, 2, and 3 of this Law and to file the proceedings that have been carried out when it does not find indications of infringement of the LDC in the investigated facts.</w:t>
      </w:r>
    </w:p>
    <w:p>
      <w:r>
        <w:t>Furthermore, Article 25.5 of the Competition Defense Regulations (RDC), approved by Royal Decree 261/2008, of February 22 (BOE 27.02.2008), stipulates that the agreement not to initiate the procedure of the CNC Council, at the proposal of the DI, must be communicated to the complainant, indicating the reasons for</w:t>
      </w:r>
    </w:p>
    <w:p>
      <w:r>
        <w:rPr>
          <w:b/>
        </w:rPr>
        <w:t>[Pages 7–8]</w:t>
      </w:r>
    </w:p>
    <w:p>
      <w:r>
        <w:t>the initiation of the procedure in accordance with the provisions of Article 49 of the LDC. Therefore, what the Council must clarify in this procedure is whether the reported facts and/or the information contained in the Proposal for Resolution Report submitted by the DI indicate signs of infringement of competition rules. Specifically, whether there are indications that the protocols used by VASBE when a customer cancels their service from the Alarm Receiving Center (CRA) to switch to another provider of said service may distort competition in the market for the installation and maintenance of security systems for companies that do not have their own CRA.</w:t>
      </w:r>
    </w:p>
    <w:p>
      <w:r>
        <w:t>SECOND.- TSM reports an alleged restrictive behavior of competition by VASBE consisting of the delay in unlocking home security equipment (installer code, which prevents other companies from carrying out maintenance operations) when the user requests cancellation due to a change of security company. It also reports as an anticompetitive practice that the company that will provide the service in the future must bear the costs of such unlocking.</w:t>
      </w:r>
    </w:p>
    <w:p>
      <w:r>
        <w:t>The Council agrees with the DI that in the market where the conduct occurs, there are multiple operators, both full-service providers with their own CRA and installation and maintenance providers using a third-party CRA. The DI, in its report, considers the codes used by companies providing CRA services to be justified for the security of customers, as well as the fact that only those companies, after the relevant checks, can proceed to deactivate them when they cease to provide the service. The DI does not see signs of infringement in the protocols applied by VASBE in cases of contract termination.</w:t>
      </w:r>
    </w:p>
    <w:p>
      <w:r>
        <w:t>The Council considers that a delay in unlocking the codes controlled by the CRA server, which is not justified by technical and security reasons of the systems, could represent an unacceptable obstacle to changing the wholesale service provider and, therefore, an artificial barrier to the possibility of change for end customers. However, the Council agrees with the DI that, based on the information gathered, there are no indications that VASBE has used its position as a wholesale provider of the CRA system to unjustifiably delay the unlocking of security codes. This assessment is supported by the fact recognized by both parties of the multiple cancellations of VASBE's CRA service to switch to ITM.</w:t>
      </w:r>
    </w:p>
    <w:p>
      <w:r>
        <w:t>Regarding who should bear the cost of changing providers, and which VASBE claims is a common practice (and not a specific problem of TSM with VASBE), that the company seeking to attract a customer from another assumes the total cost of unlocking or changing the panel, the Council considers that this issue should be left to the free agreement between the parties, without any obstruction to effective competition being appreciated given the legal-economic context of the case.</w:t>
      </w:r>
    </w:p>
    <w:p>
      <w:r>
        <w:t>Consequently, in view of the proposal from the Directorate of Investigation as outlined in the Background and considering the previous grounds, the Council of the CNC, having found no indications of infringement of the LDC in the analyzed facts, considers that in accordance with Article 49.3 of the same, it is not appropriate to initiate sanctioning proceedings and agrees to archive the actions carried out up to this point.</w:t>
      </w:r>
    </w:p>
    <w:p>
      <w:r>
        <w:t>For all the above reasons, in light of the cited provisions and other generally applicable ones, the Council of the National Competition Commission,</w:t>
      </w:r>
    </w:p>
    <w:p>
      <w:r>
        <w:t>RESOLVES</w:t>
      </w:r>
    </w:p>
    <w:p>
      <w:r>
        <w:t>SOLE. Not to initiate sanctioning proceedings and to archive the actions taken by the Directorate of Investigation in relation to the reported behaviors of the company Vigilantes Asociados al Servicio de Banca y Empresas S.L. (VASBE, S.L.), for not finding indications of infringement of the LDC.</w:t>
      </w:r>
    </w:p>
    <w:p>
      <w:r>
        <w:t>Communicate this Resolution to the Directorate of Investigation, and notify the complainant and the reported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