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https://www.cnmc.es/expedientes/s021310</w:t>
      </w:r>
    </w:p>
    <w:p>
      <w:r>
        <w:t>Pages translated : 35</w:t>
      </w:r>
    </w:p>
    <w:p/>
    <w:p>
      <w:r>
        <w:rPr>
          <w:b/>
        </w:rPr>
        <w:t>[Pages 1–3]</w:t>
      </w:r>
    </w:p>
    <w:p>
      <w:r>
        <w:t xml:space="preserve">RESOLUTION  </w:t>
        <w:br/>
        <w:t xml:space="preserve">(Expte. S/0213/10 IBERDROLA SUR)  </w:t>
        <w:br/>
        <w:t xml:space="preserve">Council  </w:t>
        <w:br/>
        <w:t xml:space="preserve">Mr. Joaquín García Bernaldo de Quirós, President  </w:t>
        <w:br/>
        <w:t xml:space="preserve">Ms. Pilar Sánchez Núñez, Vice President  </w:t>
        <w:br/>
        <w:t xml:space="preserve">Ms. Mª Jesús González López, Councilor  </w:t>
        <w:br/>
        <w:t xml:space="preserve">Ms. Inmaculada Gutiérrez Carrizo, Councilor  </w:t>
        <w:br/>
        <w:t xml:space="preserve">Ms. Paloma Ávila de Grado, Councilor  </w:t>
        <w:br/>
        <w:t xml:space="preserve">Mr. Luis Díez Martín, Councilor.  </w:t>
        <w:br/>
        <w:t xml:space="preserve">In Madrid, on February 24, 2012  </w:t>
        <w:br/>
        <w:t xml:space="preserve">The Council of the National Commission on Competition (the Council of the CNC, the Council), with the composition stated above, and with Councilor Mr. Luis Diez Martin as Rapporteur, has issued this resolution in the sanctioning file S/0213/10, IBERDROLA SUR, initiated by the Directorate of Investigation (DI) of the CNC against Iberdrola Comercialización de Último Recurso, S.A.U., Iberdrola, S.A. and Iberdrola Generación S.A.U. for alleged restrictive competition practices prohibited under Article 3 of Law 15/2007, of July 3, on the Defense of Competition (LDC), by virtue of the complaint filed by Gas Natural Servicios SDG, S.A. and Unión Fenosa Comercial, S.L., dated December 23, 2009.  </w:t>
        <w:br/>
        <w:t xml:space="preserve">FACTUAL BACKGROUND  </w:t>
        <w:br/>
        <w:t xml:space="preserve">1. On December 23, 2009, a complaint was filed with the National Commission on Competition by Gas Natural Servicios SDG, S.A. and Unión Fenosa Comercial, S.L. against Iberdrola Comercialización de Último Recurso, S.A.U. (hereinafter, IBERCUR), Iberdrola, S.A. (hereinafter, IBERDROLA) and Iberdrola Distribución Eléctrica, S.A. (hereinafter, IBERDROLA DISTRIBUCIÓN) for the transfer of contracts from the last resort supplier to the free market supplier, without obtaining the express consent of the consumer, as required by sector regulations.  </w:t>
        <w:br/>
        <w:t xml:space="preserve">2. On February 18, 2010, the DI made an information request to IBERDROLA, which was answered on March 8. It was requested to indicate whether it had indeed sent letters to the customers of IBERCUR without the right to the last resort tariff (TUR) notifying them of their transfer to IBERDROLA; the supplier changes that had been made; the legal provisions that would support such transfers; whether the express consent of those consumers had been obtained and the general conditions that would apply to those clients.  </w:t>
        <w:br/>
        <w:t xml:space="preserve">3. On March 25, 2010, a new information request was made to IBERDROLA, which was answered on April 7, 2010. It was requested to send the template letters sent in each batch, along with the attached general conditions and the particulars that would apply in each case.  </w:t>
        <w:br/>
        <w:t xml:space="preserve">4. On March 26 and May 28, 2010, information requests were made to the National Energy Commission (CNE), which were answered on May 7 and June 24, 2010, respectively.  </w:t>
        <w:br/>
        <w:t xml:space="preserve">5. In view of the information obtained in the reserved procedure, on July 1, 2010, the DI agreed to initiate a sanctioning file against IBERCUR, IBERDROLA and Iberdrola Generación S.A.U. (hereinafter, IBERDROLA GENERACIÓN) for a possible infringement of Article 3 of the LDC, consisting of the transfer of consumer contracts from the last resort supplier to the free supplier, without obtaining their express consent as required by sector regulations. The initiation of the file was registered under number S/0213/10.  </w:t>
        <w:br/>
        <w:t xml:space="preserve">6. On July 22, 2010, Céntrica Energía, S.L. (hereinafter, ENERGYA VM as it changed its name in November 2010) requested admission as an interested party in the file; on October 29, 2010, the Association of Independent Energy Marketers (ACIE) did so, and on November 29, 2010, Endesa Energía XXI, S.L. (hereinafter, ENDESA) did the same. By respective agreements of the Director of Investigation, dated July 23, November 2, and December 17, 2010, the participation of the three companies as interested parties in the file was admitted.  </w:t>
        <w:br/>
        <w:t xml:space="preserve">7. On November 15, 2010, a written statement of allegations was received from ACIE.  </w:t>
        <w:br/>
        <w:t xml:space="preserve">8. On November 18, 2010, an information request was made to IBERDROLA which was answered on December 3, 2010. It was requested to indicate the system used for sending the letters, the update of all previously provided data (letters sent, changes made...), the reason why a penalizing clause was included in the particular conditions and its possible application, the manner in which the supplier change procedure was carried out and its estimate of the abandonment rate, the acquisition costs, and the incentive threshold for change.  </w:t>
        <w:br/>
        <w:t xml:space="preserve">9. On November 19, 2010, an information request was made to the Supplier Change Office (hereinafter, OCSUM) which was answered on December 10, 2010. It was requested to provide its reports, its estimate of the abandonment rate, the acquisition costs, and the incentive threshold for change and the regulatory proposals approved related to the affected consumers.  </w:t>
        <w:br/>
        <w:t xml:space="preserve">10. On December 1, 2010, the Director of Investigation of the CNC sent a letter to the Director General of Energy Policy and Mines, in order to know whether any regulatory measures were planned for consumers whose supplies were to be suspended on December 31, 2010. It was answered on December 30, 2010.  </w:t>
        <w:br/>
        <w:t xml:space="preserve">11. On April 6, 2011, the CNE was requested to issue its determining report, in application of Article 17.2, letter d), of the LDC. Effective from that same date, the maximum period for resolution was suspended, which was communicated to the parties. The report was received on May 30, 2011, at which point the suspension was lifted.  </w:t>
        <w:br/>
        <w:t xml:space="preserve">12. On June 7, 2011, a written statement of allegations was received from IBERDROLA S.A., IBERDROLA GENERACION S.A.U. and IBERCUR.  </w:t>
        <w:br/>
        <w:t xml:space="preserve">13. On June 20, 2011, the Statement of Facts (PCH) was notified to the parties.  </w:t>
        <w:br/>
        <w:t xml:space="preserve">14. On July 8, 2011, written statements of allegations to the PCH were received from IBERCUR, IBERDROLA GENERACIÓN, S.A.U., and IBERDROLA S.A.  </w:t>
        <w:br/>
        <w:t xml:space="preserve">15. On July 15, 2011, the closure of the instruction phase was notified to the parties.  </w:t>
        <w:br/>
        <w:t xml:space="preserve">16. On July 22, 2011, written statements from IBERCUR and IBERDROLA were received, attaching a report prepared by the consulting firm NERA for each of them.  </w:t>
        <w:br/>
        <w:t xml:space="preserve">17. On July 28, 2011, the Proposal for Resolution was notified to the parties.  </w:t>
        <w:br/>
        <w:t xml:space="preserve">18. On August 16, 2011, the written statements of allegations from IBERDROLA GENERACIÓN, IBERDROLA, and IBERCUR were received. The statements from IBERDROLA and IBERCUR also contained the request for admission of the evidence they attached respectively as annex number 1 consisting of a report prepared by the consulting firm NERA, as well as the request for a hearing.  </w:t>
        <w:br/>
        <w:t xml:space="preserve">19. On August 23, 2011, the DI submitted the Proposal Report to the Council. In it, IT PROPOSES:  </w:t>
        <w:br/>
        <w:t xml:space="preserve">First. That the existence of conduct prohibited by Article 3 of Law 15/2007 be declared.  </w:t>
        <w:br/>
        <w:t xml:space="preserve">Second. That IBERDROLA, IBERCUR, and IBERDROLA GENERACIÓN be declared responsible for said infringement.  </w:t>
        <w:br/>
        <w:t>Third. That the prohibited conduct be classified, for the purposes of determining the sanction to be imposed, as a serious infringement under Article 62.3.c) of the LDC.</w:t>
      </w:r>
    </w:p>
    <w:p>
      <w:r>
        <w:rPr>
          <w:b/>
        </w:rPr>
        <w:t>[Pages 4–6]</w:t>
      </w:r>
    </w:p>
    <w:p>
      <w:r>
        <w:t xml:space="preserve">Fourth. That the sanction provided in Article 63 of the LDC be imposed, taking into account the criteria for determining the sanction provided in Article 64 of the LDC.  </w:t>
        <w:br/>
        <w:t xml:space="preserve">20. The interested parties in this file are as follows:  </w:t>
        <w:br/>
        <w:t xml:space="preserve">Gas Natural Servicios SDG, S.A.  </w:t>
        <w:br/>
        <w:t xml:space="preserve">Unión Fenosa Comercial, S.L.  </w:t>
        <w:br/>
        <w:t xml:space="preserve">Iberdrola Comercialización de Último Recurso S.A.U.  </w:t>
        <w:br/>
        <w:t xml:space="preserve">Iberdrola S.A.  </w:t>
        <w:br/>
        <w:t xml:space="preserve">Iberdrola Generación S.A.U.  </w:t>
        <w:br/>
        <w:t xml:space="preserve">ENERGYA VM Gestión de Energía S.L.  </w:t>
        <w:br/>
        <w:t xml:space="preserve">Asociación de Comercializadores Independientes de Energía (ACIE)  </w:t>
        <w:br/>
        <w:t xml:space="preserve">Endesa Energía XXI S.L.  </w:t>
        <w:br/>
        <w:t xml:space="preserve">21. The Council of the CNC deliberated on the file in various sessions and issued this Resolution on February 14, 2012.  </w:t>
        <w:br/>
        <w:t xml:space="preserve">PROVEN FACTS  </w:t>
        <w:br/>
        <w:t xml:space="preserve">The behaviors subject to this file have been assessed by this Council based on the facts established by the Directorate of Investigation during the instruction that has been carried out, facts that are detailed in this section, followed by a brief description of the parties charged in this file and the characteristics and regulation of the affected market.  </w:t>
        <w:br/>
        <w:t xml:space="preserve">1. THE PARTIES  </w:t>
        <w:br/>
        <w:t xml:space="preserve">1.1 Gas Natural Fenosa Group  </w:t>
        <w:br/>
        <w:t xml:space="preserve">GAS NATURAL FENOSA is a multinational company in the gas and electricity sector. In Spain, the company is a leader in the natural gas distribution business and is present throughout the gas value chain, through participation in exploration, production, liquefaction, and transportation projects.  </w:t>
        <w:br/>
        <w:t xml:space="preserve">The recent acquisition of the electricity company Unión Fenosa, the third in the Spanish market, has allowed it to integrate the gas and electricity businesses into one company.  </w:t>
        <w:br/>
        <w:t xml:space="preserve">The electricity commercialization activity of the GAS NATURAL FENOSA GROUP is carried out through the companies Gas Natural Comercializadora, S.A., Gas Natural Servicios SDG, S.A., Unión Fenosa Comercial, S.L., and Gas Natural SUR SDG, S.A. (the latter for last resort supply).  </w:t>
        <w:br/>
        <w:t xml:space="preserve">The market share of GAS NATURAL FENOSA, in the second quarter of 2010, through free market supplier, in the retail electricity supply market was 13.4%, by number of customers, and 15.4%, in terms of energy, ranking third after Endesa and Iberdrola, according to the "Retail Electricity Market Supervision Report for the period July 2009-June 2010" published by the CNE.  </w:t>
        <w:br/>
        <w:t xml:space="preserve">1.2 Iberdrola Group  </w:t>
        <w:br/>
        <w:t xml:space="preserve">The IBERDROLA GROUP is a Spanish energy group with international presence. Present in the electricity sector since its inception, since 2001 it has also operated in the gas sector, currently operating throughout the chain.  </w:t>
        <w:br/>
        <w:t xml:space="preserve">The electricity commercialization activity in the free market of the IBERDROLA GROUP has been carried out by IBERDROLA, the head of the group, until January 2010, when it was assumed by IBERDROLA GENERACIÓN. IBERCUR is responsible for last resort supply.  </w:t>
        <w:br/>
        <w:t xml:space="preserve">For its part, the market share of IBERDROLA, in the second quarter of 2010, through free market supplier, in the retail electricity supply market was 38.3%, by number of customers, and 22.6%, in terms of energy, ranking second after Endesa, according to the "Retail Electricity Market Supervision Report for the period July 2009-June 2010" published by the CNE.  </w:t>
        <w:br/>
        <w:t xml:space="preserve">1.3 ENERGYA VM  </w:t>
        <w:br/>
        <w:t xml:space="preserve">Centrica is an integrated energy company, primarily operating in the United Kingdom and North America.  </w:t>
        <w:br/>
        <w:t xml:space="preserve">It has been present in the Spanish market since 2002, where it carried out electricity and natural gas commercialization activities, through Centrica Energía, S.L.U. and Centrica Energía Generación, S.L.U. It also provided services related to the management of energy from producers under special regimes.  </w:t>
        <w:br/>
        <w:t xml:space="preserve">Exclusive control over both companies was recently acquired by Villar Mir Energía S.L.U., with the entities being renamed Energya VM Generación, S.L. and Energya VM Gestión de Energía, S.L.  </w:t>
        <w:br/>
        <w:t xml:space="preserve">1.4 Association of Independent Energy Marketers (ACIE)  </w:t>
        <w:br/>
        <w:t xml:space="preserve">ACIE is an organization whose primary purpose is the development and promotion of the interests of electricity marketing companies within a liberalized system, as well as the defense of the legitimate economic, social, and legal interests of its members (Article 2 of its Statutes).  </w:t>
        <w:br/>
        <w:t xml:space="preserve">The companies associated with ACIE are Nexus Energía, S.A., Centrica Energía, S.L.U., EGL Energía Iberia, S.L., GdF Suez, S.A., Factor Energía, S.A., Centrica Energía Generación, S.L.U., and ALPIQ.  </w:t>
        <w:br/>
        <w:t xml:space="preserve">1.5 ENDESA  </w:t>
        <w:br/>
        <w:t xml:space="preserve">ENDESA is a multinational company in the energy sector. Its main business is the production, transportation, distribution, and commercialization of electricity. The company also operates in the natural gas sector, renewable energies, and develops other energy-related services.  </w:t>
        <w:br/>
        <w:t xml:space="preserve">The Italian group Enel took exclusive control of the company in 2009, with a 92.06% stake in ENDESA.  </w:t>
        <w:br/>
        <w:t xml:space="preserve">The commercialization of electricity in the free market is carried out through the companies Endesa Energía, S.A. and Endesa Energía XXI, S.L.U. (the latter also performs the functions of the last resort supplier).  </w:t>
        <w:br/>
        <w:t xml:space="preserve">ENDESA's market share, in the second quarter of 2010, through free market supplier, in the retail electricity supply market was 38.5%, by number of customers, and 36%, in terms of energy, ranking first.  </w:t>
        <w:br/>
        <w:t xml:space="preserve">2. CHARACTERISTICS OF THE MARKET  </w:t>
        <w:br/>
        <w:t xml:space="preserve">The electricity sector is regulated by Law 54/1997, of November 27, on the Electricity Sector (hereinafter, LSE).  </w:t>
        <w:br/>
        <w:t xml:space="preserve">Article 11 of the LSE establishes that the operation of the system, transportation, and distribution are regulated activities, while production and commercialization are developed under conditions of free competition.  </w:t>
        <w:br/>
        <w:t xml:space="preserve">2.1 Distribution  </w:t>
        <w:br/>
        <w:t xml:space="preserve">The distribution activity includes the construction, operation, and maintenance of distribution facilities, aimed at placing energy at consumption points (Art. 9 of the LSE). National precedents (Resolution of the CNC Council of February 11, 2009, file C-98/08 Gas Natural/Unión Fenosa, paragraph 263) and community precedents (Decisions of the European Commission in cases M.4180 GDF/SUEZ, M. 3696 E.ON/MOL, and M.3440 ENI/EDP/GDP) have considered that each distribution network constitutes a natural monopoly, with its access and tariffs regulated.  </w:t>
        <w:br/>
        <w:t xml:space="preserve">Until July 1, 2009, distributors were responsible for supplying electricity at regulated tariffs. From that date, the supply, both at last resort tariffs and in the free market, has become the exclusive responsibility of marketers.  </w:t>
        <w:br/>
        <w:t xml:space="preserve">2.2 Commercialization  </w:t>
        <w:br/>
        <w:t>The commercialization activity includes the acquisition of energy for sale to consumers, to other subjects of the system, or to carry out international exchange operations, for which it is necessary to access third-party transportation and distribution facilities.</w:t>
      </w:r>
    </w:p>
    <w:p>
      <w:r>
        <w:rPr>
          <w:b/>
        </w:rPr>
        <w:t>[Pages 7–9]</w:t>
      </w:r>
    </w:p>
    <w:p>
      <w:r>
        <w:t xml:space="preserve">consumidor.”  </w:t>
        <w:br/>
        <w:t>El artículo 4 del mismo Real Decreto establece que “el cambio de suministrador se</w:t>
        <w:br/>
        <w:t>realizará a solicitud del consumidor, quien deberá comunicar su decisión al</w:t>
        <w:br/>
        <w:t>comercializador que desee contratar, así como al comercializador que</w:t>
        <w:br/>
        <w:t>actualmente le suministra, y este último deberá facilitar la información</w:t>
        <w:br/>
        <w:t xml:space="preserve">necesaria para llevar a cabo el cambio.”  </w:t>
        <w:br/>
        <w:t>Asimismo, el artículo 5 establece que “el cambio de suministrador deberá</w:t>
        <w:br/>
        <w:t>realizarse en un plazo máximo de 21 días hábiles desde la recepción de la</w:t>
        <w:br/>
        <w:t xml:space="preserve">solicitud por parte del comercializador que va a realizar el suministro.”  </w:t>
        <w:br/>
        <w:t>El artículo 6 regula el procedimiento de resolución de reclamaciones, estableciendo</w:t>
        <w:br/>
        <w:t>que “los comercializadores deberán contar con un servicio de atención al</w:t>
        <w:br/>
        <w:t>cliente que permita la presentación de reclamaciones y que deberá resolverlas</w:t>
        <w:br/>
        <w:t xml:space="preserve">en un plazo máximo de 15 días hábiles.”  </w:t>
        <w:br/>
        <w:t>Finalmente, el artículo 7 establece que “en caso de que el consumidor no esté</w:t>
        <w:br/>
        <w:t>satisfecho con la resolución de su reclamación, podrá acudir a los órganos</w:t>
        <w:br/>
        <w:t>competentes en materia de consumo para la defensa de sus derechos.”</w:t>
      </w:r>
    </w:p>
    <w:p>
      <w:r>
        <w:rPr>
          <w:b/>
        </w:rPr>
        <w:t>[Pages 10–12]</w:t>
      </w:r>
    </w:p>
    <w:p>
      <w:r>
        <w:t xml:space="preserve">contract energy and access to networks through a marketer” and continues: “In the event that the consumer chooses to contract energy and access to networks through a marketer, the latter may contract with the distributor for access to the networks as the consumer's representative. The supply contract between the consumer and the marketer must be formalized in writing. It must include an authorization for the marketer to act as the consumer's representative, contracting with the distributor for the access tariff and transferring to the distributor the necessary data for the supply.”  </w:t>
        <w:br/>
        <w:t xml:space="preserve">Article 8 of the aforementioned Royal Decree establishes that distributors must respond to these requests within a period of five business days, informing the applicants whether it is appropriate to attend to such requests or if there are objections that prevent their execution.  </w:t>
        <w:br/>
        <w:t xml:space="preserve">Article 6 establishes the deadlines within which the change of supplier must be made effective, depending on whether or not actions need to be taken on the installations.  </w:t>
        <w:br/>
        <w:t xml:space="preserve">The regulation of the procedure is completed with the first additional provision of Order ITC/1659/2009, which establishes the following:  </w:t>
        <w:br/>
        <w:t xml:space="preserve">“First additional provision. Customer consent to the change of supplier.  </w:t>
        <w:br/>
        <w:t xml:space="preserve">It will be understood that the customer has given their express consent as long as this is accredited by any verifiable means that guarantees their identity.  </w:t>
        <w:br/>
        <w:t xml:space="preserve">The marketer must always have documentation that proves the customer's willingness to change suppliers in their favor. For the purposes of validating the change, it may be sufficient to provide an electronic record of the customer's unequivocal will.”  </w:t>
        <w:br/>
        <w:t xml:space="preserve">2.6 Structure of the offer  </w:t>
        <w:br/>
        <w:t xml:space="preserve">Currently, there are 188 companies authorized in Spain to carry out the activity of electricity marketing, according to the list published by the CNE on its website, updated as of May 31, 2011, including the 5 last resort marketers. The distribution networks are managed by 349 companies, some of which belong to the main business groups, according to the Public List of Electric Distributors published by the MITYC on its website, available as of June 13, 2011.  </w:t>
        <w:br/>
        <w:t xml:space="preserve">Regarding the retail supply of electricity, the market shares in the second quarter of 2010, through free marketers, by number of customers, were 38.5% ENDESA, 38.3% IBERDROLA, 13.4% GAS NATURAL FENOSA, and 7.9% Hidrocantábrico-Naturgas, according to the “Retail Electricity Market Supervision Report for the period July 2009-June 2010” published by the CNE.  </w:t>
        <w:br/>
        <w:t xml:space="preserve">The distribution of each business group's portfolio between free marketer and last resort marketer has experienced significant progress in the evolution of the free market, representing, in the second quarter of 2010, 62.83% of ENDESA's portfolio, 60.22% of IBERDROLA's, and 71.82% of GAS NATURAL FENOSA's.  </w:t>
        <w:br/>
        <w:t xml:space="preserve">2.7.- Structure of demand (Data from the “Retail Electricity Market Supervision Report for the period July 2009-June 2010”)  </w:t>
        <w:br/>
        <w:t xml:space="preserve">The total number of retail electricity supply points in the second quarter of 2010 was 27,338,764, of which 26,495,887 (96.9%) belonged to the domestic sector, 822,722 (3%) to SMEs, and 20,155 (0.1%) to the industrial sector.  </w:t>
        <w:br/>
        <w:t xml:space="preserve">In energy terms, the total energy supplied in the second quarter of 2010 was 238,163 GWh, of which 85,510 GWh (35.9%) corresponded to the domestic sector, 53,549 GWh (22.5%) to SMEs, and 99,104 GWh (41.6%) to the industrial segment.  </w:t>
        <w:br/>
        <w:t xml:space="preserve">Of the domestic consumers, approximately 15%, in terms of the number of supply points, and 23%, in terms of energy, were supplied by a free marketer at the end of the second quarter of 2010. Consumers with higher consumption or contracted power are the ones who have mostly switched to the free marketer. Regarding medium-sized consumers (SMEs), it is significant that more than 20% of these clients are supplied by a last resort marketer, despite not having the right to last resort tariff since July 1, 2009.  </w:t>
        <w:br/>
        <w:t xml:space="preserve">Likewise, in the industrial sector, there are still consumers who have not yet migrated to a free marketer, despite these supplies being subject to surcharged tariffs since July 1, 2008.  </w:t>
        <w:br/>
        <w:t xml:space="preserve">3. ACCREDITED FACTS  </w:t>
        <w:br/>
        <w:t xml:space="preserve">3.1 On July 1, 2009, in application of Article 3 of Royal Decree 485/2009, IBERCUR assumed the supply of 470,791 consumers who, without having the right to access the last resort tariff, temporarily lacked a valid supply contract with a marketer and continued consuming electricity.  </w:t>
        <w:br/>
        <w:t>According to the data provided by the CNE (folios 1339 to 1342), the number of consumers without the right to the last resort tariff, supplied by last resort marketers, is shown in the following table:</w:t>
      </w:r>
    </w:p>
    <w:p>
      <w:r>
        <w:t xml:space="preserve">CLIENTS WITHOUT RIGHT TO LAST RESORT TARIFF SUPPLIED BY A LAST RESORT MARKETER  </w:t>
        <w:br/>
        <w:t xml:space="preserve">No. of clients Energy (MWh)  </w:t>
        <w:br/>
        <w:t xml:space="preserve">Last Resort July 2009 July 2010 July 2009  </w:t>
        <w:br/>
        <w:t xml:space="preserve">ENDESA 517,893 109,291 1,245,464  </w:t>
        <w:br/>
        <w:t xml:space="preserve">IBERDROLA 470,791 25,030 993,119  </w:t>
        <w:br/>
        <w:t xml:space="preserve">GNF 183,134 60,617 327,538  </w:t>
        <w:br/>
        <w:t xml:space="preserve">HC- 31,771 3,278  </w:t>
        <w:br/>
        <w:t xml:space="preserve">NATURGAS 19,023  </w:t>
        <w:br/>
        <w:t xml:space="preserve">EON 29,309 10,733 47,944  </w:t>
        <w:br/>
        <w:t xml:space="preserve">TOTAL 1,220,150 208,949 2,645,836  </w:t>
        <w:br/>
        <w:t xml:space="preserve">Source: Own elaboration, with data from the CNE  </w:t>
        <w:br/>
        <w:t xml:space="preserve">The number of clients without the right to the last resort tariff supplied by a last resort marketer has been calculated as the sum of consumers at high voltage and low voltage with power &gt;10 kW, supplied by a last resort marketer.  </w:t>
        <w:br/>
        <w:t xml:space="preserve">To the number of consumers supplied by Endesa Energía XXI on July 1, 2010, according to the data provided by the CNE, the number of consumers who, according to the same data, were being supplied by the company at free price (192,273, folio 1338) has been subtracted.  </w:t>
        <w:br/>
        <w:t xml:space="preserve">As can be seen in the table above, the number of consumers whose supply was assumed by IBERCUR on July 1, 2009, in application of Article 3 of Royal Decree 485/2009, amounted to 470,791 (9,165 at high voltage and 461,626 at low voltage). The clients assumed by IBERDROLA represented 39% of the clients in a transitional situation (more than 80% of these clients were assumed by two business groups: IBERDROLA and ENDESA).  </w:t>
        <w:br/>
        <w:t xml:space="preserve">Regarding the total number of clients of IBERDROLA (both in the free market and in last resort supply), they represented 4.6%, in number of clients, and 19.4%, in terms of energy.  </w:t>
        <w:br/>
        <w:t>One year later, the number of consumers who remained in a transitional situation in the last resort marketer of the IBERDROLA group had been significantly reduced to 25,030, 5% of the initial number (21% from ENDESA, 33% from GNF, 17% from HC-Naturgas, and 36% from E.ON).</w:t>
      </w:r>
    </w:p>
    <w:p>
      <w:r>
        <w:rPr>
          <w:b/>
        </w:rPr>
        <w:t>[Pages 13–15]</w:t>
      </w:r>
    </w:p>
    <w:p>
      <w:r>
        <w:t xml:space="preserve">3.2 IBERCUR and IBERDROLA sent letters to consumers who, without the right to access the last resort tariff, were being temporarily supplied by IBERCUR. (folios 282 to 286)  </w:t>
        <w:br/>
        <w:t xml:space="preserve">Between July 2009 and March 2010, IBERDROLA and IBERCUR sent a series of letters to customers who, without the right to access the last resort tariff, were being temporarily supplied by IBERCUR. The letters sent can be classified into four types (shipments), each of which is described in the following sections. The diagram below presents the schematized process:  </w:t>
        <w:br/>
        <w:t xml:space="preserve">jul-09 aug-09 sep-09 oct-09 nov-09 dec-09 jan-10 feb-10 mar-10  </w:t>
        <w:br/>
        <w:t xml:space="preserve">1st shipment 430,316  </w:t>
        <w:br/>
        <w:t xml:space="preserve">474,197 shipments 42,262  </w:t>
        <w:br/>
        <w:t xml:space="preserve">1,619  </w:t>
        <w:br/>
        <w:t xml:space="preserve">2nd shipment 328,009  </w:t>
        <w:br/>
        <w:t xml:space="preserve">339,012 shipments 11,003  </w:t>
        <w:br/>
        <w:t xml:space="preserve">3rd shipment 279,370  </w:t>
        <w:br/>
        <w:t xml:space="preserve">308,615 shipments 19,977 9,268  </w:t>
        <w:br/>
        <w:t xml:space="preserve">4th shipment 271,557  </w:t>
        <w:br/>
        <w:t xml:space="preserve">271,557 shipments  </w:t>
        <w:br/>
        <w:t xml:space="preserve">First group of customers  </w:t>
        <w:br/>
        <w:t xml:space="preserve">Public Administrations  </w:t>
        <w:br/>
        <w:t xml:space="preserve">Customers from small distributors  </w:t>
        <w:br/>
        <w:t xml:space="preserve">Source: Own elaboration, with data from IBERDROLA  </w:t>
        <w:br/>
        <w:t xml:space="preserve">3.2.1 First shipment  </w:t>
        <w:br/>
        <w:t xml:space="preserve">IBERCUR made a first shipment of letters during the first week of July 2009 to a total of 430,316 consumers who, without the right to TUR, were being temporarily supplied by IBERCUR. Two versions of the letter were prepared: one addressed to low voltage customers with a contracted power greater than 10 kW and the other addressed to high voltage customers.  </w:t>
        <w:br/>
        <w:t xml:space="preserve">In mid-November 2009, another shipment of similar letters was made to 42,262 recipients, corresponding to Public Administrations, and another 1,619 to tariff customers coming from other distributors without a last resort supplier who, under the regulations, had opted to transfer their contracts to IBERCUR in July 2009.  </w:t>
        <w:br/>
        <w:t xml:space="preserve">In total, the first shipment was sent to 474,197 recipients between July and November 2009.  </w:t>
        <w:br/>
        <w:t xml:space="preserve">In this shipment of letters, customers were informed of the following (folios 319 and 321):  </w:t>
        <w:br/>
        <w:t xml:space="preserve">“As you have already been informed by your distribution company and in accordance with European regulations, since July 1, 2009, your electricity supply in […] has been assumed by IBERDROLA COMERCIALIZACIÓN DE ÚLTIMO RECURSO, S.A.U.  </w:t>
        <w:br/>
        <w:t xml:space="preserve">This supply will be carried out under the conditions provided in Royal Decree 485/2009, of April 3, which regulates the implementation of the last resort supply in the electricity sector, Order ITC/1659/2009, of June 22, which establishes the mechanism for transferring customers from the tariff market to the last resort supply of electricity (especially regarding the price and its automatic increases), and in the General Conditions of IBERDROLA for supplies to consumers who do not have the right to access the last resort tariff (with contracted power greater than 10 kW) (“the General Conditions of IBERDROLA for high voltage supplies, which do not have the right to access the last resort tariff,” in the case of high voltage customers) that we enclose.  </w:t>
        <w:br/>
        <w:t xml:space="preserve">Unless the thirty-day period from the receipt of this letter indicates otherwise, we will understand that you accept the General Conditions that we enclose, especially regarding the contractual transfer and the authorization for the processing of personal data for the purpose of contract management and promotional agreement as provided therein.  </w:t>
        <w:br/>
        <w:t xml:space="preserve">We also remind you that, at any time, you may choose any of the electricity suppliers listed on the website of the National Energy Commission: www.cne.es.”  </w:t>
        <w:br/>
        <w:t xml:space="preserve">3.2.2 Second shipment  </w:t>
        <w:br/>
        <w:t xml:space="preserve">During the first week of August 2009, IBERCUR made a shipment of letters to a total of 328,009 consumers who, without the right to TUR, were being temporarily supplied by IBERCUR. Two versions of the letter were prepared: one addressed to customers with night time hourly discrimination and another addressed to customers without hourly discrimination.  </w:t>
        <w:br/>
        <w:t xml:space="preserve">On January 12, 2010, another shipment of similar letters was made to 11,003 recipients, mostly consumers coming from small local distributors.  </w:t>
        <w:br/>
        <w:t xml:space="preserve">This second shipment was directed to a total of 339,012 recipients. In them, the following was informed (folios 323, 325, 619, and 620):  </w:t>
        <w:br/>
        <w:t xml:space="preserve">“As you may already know, the regulations applicable to supplies with contracted power greater than 10 kW that have not opted to enter into a contract in the free market, as is the case with your supply in […], establishes a transitional process in which prices will be mandatorily increased by 5% quarterly until April 1, 2010, and by 20% from that date. This process will culminate with the termination of the contract and interruption of the supply on October 1, 2010 (“December 31, 2010,” in the case of letters sent in 2010).  </w:t>
        <w:br/>
        <w:t xml:space="preserve">In order to avoid the aforementioned disadvantages (“In order to prevent you from being penalized further, as well as to eliminate the risk of interruption of supply for this reason,” in the case of letters sent in 2010), you must proceed to contract your supply with any of the electricity suppliers in the free market indicated in the list published on the page: www.cne.es.  </w:t>
        <w:br/>
        <w:t xml:space="preserve">Notwithstanding the above, so that you do not have to carry out any management on your part, and in accordance with the provisions of clause 10 of the general conditions, we inform you that your supply contract will be transferred to the free market supplier IBERDROLA, S.A. (“IBERDROLA GENERACIÓN, S.A.U.,” in the case of letters sent in 2010), which will assume all rights and obligations of the same. In this way, you will continue to receive the supply without interruption and under conditions identical to those offered by IBERDROLA, S.A. in the liberalized market, which entail the maintenance (“of a fixed price during the first 12 months of the contract, which represents an average savings of approximately 6%, compared to those currently being applied to you. Additionally, the penalties and disadvantages mentioned above will no longer apply”) of the price currently paid (“the price of the power term, and the active energy term, will remain fixed during the first year, without prejudice to its update according to the variation corresponding to the CPI on January 1, 2010, and of the subsequent years in which the contract remains in force, and according to the variations of the access tariffs and regulated values that may be approved by the Administration. The indicated discount will be calculated once the consumption made until 12/31/2009 is known and will be applied in the next bill issued”) during the first 12 months of the contract, benefiting, in addition, from a 12% discount on the energy term (on the energy term of the valley period, in the case of customers with night time hourly discrimination) until December 31, 2009.  </w:t>
        <w:br/>
        <w:t xml:space="preserve">If you have already contracted your supply with any free market supplier, we kindly ask you to disregard this communication.  </w:t>
        <w:br/>
        <w:t xml:space="preserve">We also inform you that you may terminate the contract with IBERDROLA, S.A. at any time, without any penalty, and contract with any other supplier.  </w:t>
        <w:br/>
        <w:t xml:space="preserve">We believe that this transfer will allow you to receive the supply under more favorable conditions and that it will be of maximum interest to you; therefore, it will be understood as accepted unless, within forty days following the receipt of this letter, you indicate otherwise or contract your supply with any other supplier in the free market.”  </w:t>
        <w:br/>
        <w:t xml:space="preserve">3.2.3 Third shipment  </w:t>
        <w:br/>
        <w:t>In the last week of September 2009, IBERDROLA made a shipment of letters to a total of 279,370 recipients.</w:t>
      </w:r>
    </w:p>
    <w:p>
      <w:r>
        <w:rPr>
          <w:b/>
        </w:rPr>
        <w:t>[Pages 16–18]</w:t>
      </w:r>
    </w:p>
    <w:p>
      <w:r>
        <w:t>During the first week of January 2010, the same letter was sent to 19,977 recipients, corresponding to the category of Public Administrations. On March 18, 2010, a similar letter was sent to 9,268 recipients, mainly corresponding to consumers from small local distributors. Therefore, in total, 308,615 letters were sent in this shipment. The letters informed the following (folios 327, 622, and 625): “As communicated to you by IBERDROLA COMERCIALIZACIÓN DE ÚLTIMO RECURSO, S.A.U. and having passed the forty-day period without you communicating another decision, your supply will be assumed by IBERDROLA S.A. (IBERDROLA GENERACION S.A.U. in the letters of March 18) under the market conditions indicated to you and which we attach incorporated into the corresponding Contract and General Conditions of supply. This transfer will coincide with the date of the next reading of your meter, without prejudice [SIC] to the fact that your data will not be used for the promotional purpose provided in the Contract until one month after the receipt of this letter, during which you may communicate your opposition to such processing. In the event that you have already contracted your supply with another marketer in the free market, we kindly ask you to disregard this communication as your supply will be assumed by the marketer of your choice. We also remind you that, if you wish, you may terminate this Contract at any time, without any penalty, and contract with any of the marketing companies listed on the website of the National Energy Commission: www.cne.com. Hoping that these new economic conditions are clearly beneficial for you (…)”</w:t>
      </w:r>
    </w:p>
    <w:p>
      <w:r>
        <w:t xml:space="preserve">3.2.4 Fourth Shipment  </w:t>
        <w:br/>
        <w:t>During the first week of November 2009, IBERDROLA sent a fourth letter to a total of 271,557 recipients. Two versions of the letter were prepared: one addressed to customers with night-time hourly discrimination and another addressed to customers without hourly discrimination. The following was informed (folio 331): “As we have been informing you over the past few months, according to the applicable regulations, those supplies with contracted power greater than 10 kW, as is your case in […] that did not have a contract in the free market, would be affected starting October 1, 2009, with quarterly increases of 5% in prices. Iberdrola has provided you with a solution in the free market, with very advantageous conditions for you: A 12% discount on all your electricity consumption during 2009 regardless of the consumption time period (on the energy term of the valley period, in the case of customers with night-time hourly discrimination). For your peace of mind, Iberdrola has already taken care of activating your contract, so you can enjoy these advantages, and you do not need to carry out any additional management or procedures.”</w:t>
      </w:r>
    </w:p>
    <w:p>
      <w:r>
        <w:t xml:space="preserve">3.2.5 Returns  </w:t>
        <w:br/>
        <w:t xml:space="preserve">The method used by IBERDROLA for sending the letters was “a certified communication system at origin with management of returns” (folios 594 and 595). This system does not allow for confirmation that the letters have been effectively received by the recipient. The number of returned letters, according to the information provided by IBERDROLA, was as follows (folio 595):  </w:t>
        <w:br/>
        <w:t xml:space="preserve">Shipment Number of returned letters  </w:t>
        <w:br/>
        <w:t xml:space="preserve">First shipment (July 2009) 9,150  </w:t>
        <w:br/>
        <w:t xml:space="preserve">Second shipment (August 2009) 656  </w:t>
        <w:br/>
        <w:t xml:space="preserve">Third shipment (September 2009) 4,576  </w:t>
        <w:br/>
        <w:t xml:space="preserve">Fourth shipment (November 2009) 8,038  </w:t>
        <w:br/>
        <w:t>Source: IBERDROLA</w:t>
      </w:r>
    </w:p>
    <w:p>
      <w:r>
        <w:t>3.3. Following the procedure described in the letters, of the total of 470,791 customers without the right to TUR who were being temporarily supplied by IBERCUR as of July 1, 2009 (see Established Fact 3.1), 339,012 (72% of the previous ones) were subject to the analyzed strategy, that is, they were recipients of the second shipment of letters (See Established Fact 3.2.2), of which 268,001 (79% of the recipients of the analyzed strategy) were automatically transferred from IBERCUR to the free marketer of the Group, without obtaining their express consent (folio 603). Of the 268,001 transferred consumers, as of May 13, 2011, (CONFIDENTIAL) consumers (CONFIDENTIAL) % of the transferred) had signed a supply contract with a marketer outside the IBERDROLA group, that is, with the exception of the customers who chose to definitively terminate as a supply point, the rest of the transferred consumers (around 70%) continue to be linked to the IBERDROLA Group, either because they expressly modified the conditions of their contract to be able to access the TUR (thus continuing to be supplied by IBERCUR, at the TUR), or because they expressly expressed their desire to be supplied by IBERDROLA under individually negotiated conditions.</w:t>
      </w:r>
    </w:p>
    <w:p>
      <w:r>
        <w:t xml:space="preserve">3.4. Conditions applicable to each type of supply.  </w:t>
        <w:br/>
        <w:t xml:space="preserve">In Title VI of Royal Decree 1955/2000, the conditions regulating the supply of electricity are established. These conditions are supplemented by those established in Royal Decree 1435/2002, for low voltage consumers. Regarding consumers covered by the last resort tariff, Article 5 of Royal Decree 485/2009 establishes the following:  </w:t>
        <w:br/>
        <w:t xml:space="preserve">1. For all purposes, consumers covered by the last resort tariff will be considered as consumers in the liberalized market.  </w:t>
        <w:br/>
        <w:t>2. Notwithstanding the above, the provisions relating to supply at tariff established in Section IV of Chapter I of Title VI of Royal Decree 1955/2000 shall apply to them (...). The provisions contained in that section establish the criteria for payment, suspension, and restoration of supply. The conditions that apply to all consumers are the same, regardless of the type of supply they have, except regarding payment and suspension of supply, where specific conditions are regulated for consumers covered by the last resort tariff. Additionally, each marketer applies general conditions to each type of supply and specific conditions to each individual consumer.</w:t>
      </w:r>
    </w:p>
    <w:p>
      <w:r>
        <w:t>3.5. IBERDROLA and IBERCUR apply different general conditions in their electricity supply contracts. Both models of conditions were adapted for consumers without the right to TUR. IBERDROLA and IBERCUR establish general conditions that apply to their supplies (last resort, in the case of IBERCUR, and in the free market, in the case of IBERDROLA). Additionally, for each supply contract with each customer, the specific conditions applicable to each of the customers will apply. Both made adaptations of these general conditions for the customers subject to analysis. Thus, they established general conditions for IBERCUR customers without the right to TUR, sent in the first shipment of letters, and others for IBERDROLA customers automatically transferred from IBERCUR, sent in the third shipment of letters.</w:t>
      </w:r>
    </w:p>
    <w:p>
      <w:r>
        <w:rPr>
          <w:b/>
        </w:rPr>
        <w:t>[Pages 19–21]</w:t>
      </w:r>
    </w:p>
    <w:p>
      <w:r>
        <w:t xml:space="preserve">In the facts that concern us, consumers transitioned from the general conditions for IBERCUR customers without the right to TUR to the general conditions for IBERDROLA customers automatically transferred from IBERCUR. The main differences between the two sets of conditions relate to the supplier (CUR, in one case, and free, in the other), the duration of the contract (limit established by regulation, in one case, and annual renewable, in the other), the price to be applied (tariff established by regulation, in one case, and free price in the other) and the termination of the contract.  </w:t>
        <w:br/>
        <w:t xml:space="preserve">Regarding the termination of the contract, the general conditions for transferred customers did not include any type of penalty for early termination of the contract, which is consistent with the information included in the letters.  </w:t>
        <w:br/>
        <w:t xml:space="preserve">On one hand, in the letter sent in the second batch to IBERCUR customers without the right to TUR (see Accredited Fact 3.2.2), it was established that:  </w:t>
        <w:br/>
        <w:t xml:space="preserve">"Likewise, we inform you that you may terminate the contract with IBERDROLA, S.A. at any time, without any penalty and contract with any other marketer."  </w:t>
        <w:br/>
        <w:t xml:space="preserve">Similarly, in the letter sent in the third batch, it was stated: "Likewise, we remind you that, if you wish, you may terminate this Contract at any time, without any penalty."  </w:t>
        <w:br/>
        <w:t xml:space="preserve">However, in the specific conditions that were attached to the letters sent in this same batch, the following clause appears (folios 337, 339, 340, and 341):  </w:t>
        <w:br/>
        <w:t xml:space="preserve">"CONDITIONS FOR APPLYING DISCOUNTS  </w:t>
        <w:br/>
        <w:t xml:space="preserve">(...)  </w:t>
        <w:br/>
        <w:t xml:space="preserve">The termination of the Contract prior to 31-12-2009 for any reason attributable to the Customer will result in the loss of the right to receive the offered discounts."  </w:t>
        <w:br/>
        <w:t xml:space="preserve">Regarding the assignment of contracts, in the 4 types of previous general conditions, the same clause 10th is included, which reads as follows:  </w:t>
        <w:br/>
        <w:t xml:space="preserve">"10.-SUBROGATION AND ASSIGNMENT  </w:t>
        <w:br/>
        <w:t xml:space="preserve">10.1.- For the subrogation in the rights and obligations of the Contract, it will be sufficient to communicate the change of ownership to IBERDROLA in a reliable manner, provided that payments are up to date. This communication must contain the consent of the new Customer, who must state their personal data and address for billing purposes, the CIF or NIF, and the bank account details.  </w:t>
        <w:br/>
        <w:t>10.2.- IBERDROLA may assign the Contract and the rights and obligations arising from the Contract to any affiliated, linked, or successor company of IBERDROLA that may provide the service subject to the Contract in the future, with the appropriate communication to the Customer being sufficient for this purpose."</w:t>
      </w:r>
    </w:p>
    <w:p>
      <w:r>
        <w:t xml:space="preserve">3.6 IBERDROLA made a presentation to the CNE on September 17, 2009, informing about the procedure it was going to follow. The CNE assessed the reported facts in its "Informative File to analyze the causes that are causing delays in contracting the supply with a marketer in the free market" dated July 27, 2010, and in the two responses given to the CNC in response to its requests.  </w:t>
        <w:br/>
        <w:t xml:space="preserve">The CNE, in its "Response to the CNC's request for information in the context of the complaint by Gas Natural, SDG, S.A. and Unión Fenosa Comercial, S.L. against Iberdrola," dated May 6, 2010, confirms that: "On September 17, 2009, there was indeed a meeting between the technical services of the CNE and Iberdrola. The content of this meeting focused on Iberdrola's presentation of the processes carried out by this marketer for the implementation of the Last Resort supply, the commercial campaigns planned by the company, and some regulatory issues pending normative development. This meeting is part of the periodic meetings that this Commission holds with agents, in order to understand the evolution of all these aspects, even more relevant since the disappearance on July 1, 2009, of all comprehensive electricity tariffs." (folio 345).  </w:t>
        <w:br/>
        <w:t xml:space="preserve">Furthermore, it assesses that "In this meeting, no assessment or judgment was made regarding what was presented by Iberdrola, as it was not the appropriate avenue for that, since the meeting constituted an informal mechanism for receiving information, and cannot be considered a means for the CNE to decide or resolve –acting summarily– matters in which it may have competence. This, aside from the fact that, moreover, the competencies of the CNE must be exercised formally by its Board of Directors, as provided in Article 19 of its Regulation (approved by Royal Decree 1339/1999, of July 31), which consequently cannot be understood as being bound by what was stated or discussed in such meetings." (folio 345)  </w:t>
        <w:br/>
        <w:t xml:space="preserve">It concludes that "For these reasons, the Board of the CNE, in its meeting of December 22, 2009, (...) agreed to initiate an Informative File in order to analyze the difficulties in contracting electricity supply with free marketers, by consumers who do not have the right to access the TUR (...)" (folio 346)  </w:t>
        <w:br/>
        <w:t xml:space="preserve">In the context of this informative file, information was requested from the main agents in the sector, so, in this context, they were also aware of the practice carried out by IBERDROLA (folios 346 and 347).  </w:t>
        <w:br/>
        <w:t>Additionally, it indicates that "Furthermore, on March 4, 2010, in another of the periodic meetings that the CNE holds with agents, Iberdrola reported that 262,000 customers had been transferred to the free market marketer with the economic conditions currently offered by that market, following the criteria indicated in the meeting of September 17." (folio 345) and that, on March 5, 2010, IBERCUR sent a letter to the CNE informing about the measure taken (folio 347).</w:t>
      </w:r>
    </w:p>
    <w:p>
      <w:r>
        <w:t xml:space="preserve">The aforementioned Informative File was approved on July 27, 2010, with the following content, regarding Iberdrola's actions:  </w:t>
        <w:br/>
        <w:t xml:space="preserve">"This action could be contrary to the first additional provision of Order ITC/1659/2009, which clearly refers to the need for the marketer to have the express consent of the customer, without mentioning possible exceptions to this rule when the incoming and outgoing marketers belong to the same business group. For this reason, there could be an indication of a violation of the rules on formalizing contracts or a violation of the requirements for contracting customers."  </w:t>
        <w:br/>
        <w:t xml:space="preserve">It adds that it could also "contravene the basic right, recognized by the Electric Sector Law, of all marketers to access the networks and, therefore, to the supply points connected to them, on equal, objective, transparent, and non-discriminatory conditions."  </w:t>
        <w:br/>
        <w:t xml:space="preserve">Moreover, it analyzes the conduct from the perspective of competition law, concluding that Iberdrola's behavior "could present indications of anti-competitive conduct" and that "the referral of this file to the CNC is proposed."  </w:t>
        <w:br/>
        <w:t xml:space="preserve">On the other hand, in its "Response to the CNC's request for information in the context of the complaint by Gas Natural, SDG, S.A. and Unión Fenosa Comercial, S.L. against Iberdrola," dated June 23, 2010, it responds to the specific issues regarding Iberdrola's actions raised by the CNC, highlighting the following:  </w:t>
        <w:br/>
        <w:t xml:space="preserve">"(...) the transition from a last resort marketer (CUR) to a free marketer, within the same business group, cannot be considered a contractual subrogation.  </w:t>
        <w:br/>
        <w:t xml:space="preserve">The legal regime of consumers in the free market is not identical to that of consumers being supplied by a CUR, whether they have the right to TUR or not but are temporarily without a valid contract.  </w:t>
        <w:br/>
        <w:t xml:space="preserve">(...)  </w:t>
        <w:br/>
        <w:t xml:space="preserve">In this case, it is understood that it is really a change of supplier, which necessarily requires the express consent of the consumer in accordance with the provisions of the First Additional Provision of Order ITC/1659/2009." (folios 362 to 364)  </w:t>
        <w:br/>
        <w:t xml:space="preserve">It thus concludes that "this action (...) is based on the tacit consent of the customers, and therefore, does not seem to comply with the first additional provision of Order ITC/1659/2009."  </w:t>
        <w:br/>
        <w:t xml:space="preserve">(...)  </w:t>
        <w:br/>
        <w:t>For this reason, there could be an indication of a violation of the rules on formalizing contracts or a violation of the requirements for contracting customers. Specifically, IBERDROLA could have violated paragraphs 1 and 4 of Article 62 of the Electric Sector Law." (folio 366)</w:t>
      </w:r>
    </w:p>
    <w:p>
      <w:r>
        <w:rPr>
          <w:b/>
        </w:rPr>
        <w:t>[Pages 22–24]</w:t>
      </w:r>
    </w:p>
    <w:p>
      <w:r>
        <w:t>3.7 The data provided by OCSUM in its periodic reports on supplier change processes show a general increase in requests in the 4th quarter of 2009, which is particularly relevant for IBERDROLA. The data provided by OCSUM in its quarterly and monthly reports on supplier change requests (folios 679, 909, 927, 945, 972, 1031, 1068, 1076, 1084, 1092, 1100, and 1108) are collected in the attached graph where the accepted supplier change requests made by IBERDROLA are reflected, along with those made by the remaining marketers. Source: Own elaboration based on OCSUM data. The graph shows that in the fourth quarter of 2009 there was a notable increase in activity in the market and it can also be seen that IBERDROLA performed significantly above what its competitors did. While the number of supplier change requests from the other marketers experienced a decrease of 6% compared to the previous quarter, in the case of IBERDROLA the increase was 123%. This fact is noted within OCSUM itself, which reflects it in its report for the fourth quarter of 2009, stating: “It is detected that in the quarter there has been significant activity by one agent. In this sense, the agent Iberdrola, S.A. states that this activity has been mainly due to the results of the commercial campaign carried out to avoid the penalty applied to certain consumers by contracting in the free market to consumers with contracted power greater than 10 kW, and therefore, without the right to last resort tariff, and to whom the last resort supplier was applying the tariff with the corresponding surcharges.” (folio 960)</w:t>
      </w:r>
    </w:p>
    <w:p>
      <w:r>
        <w:t xml:space="preserve">LEGAL GROUNDS  </w:t>
        <w:br/>
        <w:t xml:space="preserve">FIRST.- On the object of this Resolution.  </w:t>
        <w:br/>
        <w:t>In this Resolution, the Council of the CNC must pronounce on the proposal that the Directorate of Investigation has submitted in application of the current Law 15/2007 of July 3, on the Defense of Competition, taking into account the allegations presented by the parties before this Council. The Directorate of Investigation concludes that “the conduct carried out by IBERDROLA, IBERCUR, and IBERDROLA GENERACIÓN, consisting of the transfer of contracts from the last resort supplier to the free market supplier, without obtaining the express consent of the consumer, required by sector regulations, constitutes an infringement classified in Article 3 of the LDC that prohibits ‘acts of unfair competition that distort free competition affecting the public interest’ and considers ‘IBERDROLA, IBERCUR, and IBERDROLA GENERACIÓN responsible for this infringement.’”</w:t>
      </w:r>
    </w:p>
    <w:p>
      <w:r>
        <w:t xml:space="preserve">SECOND.- On the qualification of the conduct  </w:t>
        <w:br/>
        <w:t>The Council must determine whether the conduct attributed constitutes an infringement of Article 3 of the LDC as proposed by the Directorate of Investigation. To this end, it has taken into consideration all the documentation that is part of the administrative file and, within this, all the allegations presented to the Proposal for Resolution, among which are certain reports that, due to being attached to the written allegations, have also been considered part of the argument put forward by the defendants. Due to its length and because it largely reproduces those presented to the Statement of Facts (PCH), here it is only appropriate to make a summary without this circumstance being considered as generating defenselessness. This Council has already had the opportunity to pronounce on numerous occasions regarding the fact that the right of defense of the parties does not require an individually reasoned response to each of the allegations presented, but that these may merit a joint assessment, and consequently be subject to a jointly reasoned rejection or acceptance, which the Council understands occurs in this case. This pronouncement has been ratified by the National Court, which in its Judgment of May 4, 2010, of the appeal presented against RCNC 2805/07 EMPRESAS ESTIBADORAS of November 24, 2009, argues that: “The right whose infringement is alleged does not include the right of the subject to an administrative sanctioning file to have its allegations admitted and accepted by the Administration, as the plaintiff seems to understand. The allegations were answered, and, as indicated by the CNC, by the fact that they were not expressly mentioned, or that it was not indicated that the allegations of CETM were being answered, it cannot be understood that they were ignored.” The Council, in view of the provisions of Article 37.2 of the RDC, has not deemed it necessary to carry out the requested hearing.</w:t>
      </w:r>
    </w:p>
    <w:p>
      <w:r>
        <w:t>For these purposes, the Council considers, in accordance with the proposal of the Directorate of Investigation, that it has been established in the file that the conduct attributed has consisted of an infringement of Article 3 of the LDC by understanding that, on the one hand, the provisions of the First Additional Provision of Order ITC/1659/2009 have been breached; a norm that aims to regulate competitive activity, must be regarded as an unfair conduct in accordance with Article 15.2 of the Unfair Competition Law and that, on the other hand, its impact on the public interest legitimizes the exercise of the sanctioning power by the CNC.</w:t>
      </w:r>
    </w:p>
    <w:p>
      <w:r>
        <w:t xml:space="preserve">On the infringement of the First Additional Provision of Order ITC/1659/2009  </w:t>
        <w:br/>
        <w:t>It is an undisputed fact, as IBERDROLA has expressly recognized, that it did not request the express consent of consumers in all the supplier changes carried out with the conduct attributed in this file (folio 290). This action violates, in the opinion of this Council, the provisions of the First Additional Provision of Order ITC/1659/2009. The infringed norm, under the heading “Customer consent to the change of supplier,” establishes that “it will be understood that the customer has given their express consent as long as this is accredited by any verifiable means that allows guaranteeing their identity” and continues “The marketer must have at all times the documentation that proves the customer's willingness to change suppliers in their favor.” As will be explained later, any interpretation of the regulation that is made from legal rigor does not allow reaching any conclusion other than the necessity of requiring the express consent of the customer for the change of electricity supplier. It cannot therefore be asserted that IBERDROLA and IBERCUR acted on the basis of a reasonable interpretation of the regulation by requesting tacit consent, but rather the opposite. In fact, it is in no way reasonable to interpret that the regulation admits tacit consent when it unequivocally states that consent must be express (that is, the regulation itself speaks of “express consent”). Furthermore, in this case, it is not even possible to assert that tacit consent has been obtained since there is evidence that the letters were sent, the content of them, and those that were returned, 2% of those sent, but not that those not returned reached their recipients.</w:t>
      </w:r>
    </w:p>
    <w:p>
      <w:r>
        <w:rPr>
          <w:b/>
        </w:rPr>
        <w:t>[Pages 25–27]</w:t>
      </w:r>
    </w:p>
    <w:p>
      <w:r>
        <w:t>And it cannot be defended that this conduct is justified by the fact that the general conditions of the contracts provided for the transfer from IBERCUR to IBERDROLA. According to the literal wording of the clause contained in the contracts, IBERDROLA may assign the contract to any company that could provide "the service subject to the contract" in the future, and in the case being analyzed here, the object of the contract is different, since it would transition from a last resort supply to a supply in the free market that presents perfectly differentiated characteristics.</w:t>
      </w:r>
    </w:p>
    <w:p>
      <w:r>
        <w:t>In this case, it cannot be said that there is a subrogation. Subrogation implies the assumption of all rights and obligations by the receiving company, which requires the identity of the service provided in all its conditions. However, the legal regime of both companies within the same group (last resort supplier and free market supplier) is different. The customer transitions from having a regulated tariff to paying a price established in a free market contract, which could vary according to the clauses contained therein. Furthermore, in the free market, the possibility of conditioning the supply to the consumer's solvency, the provision of guarantees, as well as establishing penalties for early cancellation is established. Finally, the conditions for proceeding with the suspension and restoration of the supply and the billing and payment conditions also present differences in each supply model (see Accredited Facts 3.4 and 3.5).</w:t>
      </w:r>
    </w:p>
    <w:p>
      <w:r>
        <w:t>Therefore, a change between both suppliers cannot be considered a contractual subrogation, to the extent that both types of supply present different subjects, objects, and conditions. This is confirmed by the CNE in its report of June 23, 2010, received on June 24, where it states that "the general conditions of the last resort supply present substantial differences compared to a contract negotiated in the free market" (folio 365) and expressly points out that "the transition from a last resort supplier (CUR) to a free supplier, within the same business group, cannot be considered a contractual subrogation" (folio 362) and "when a customer transitions from a CUR to a supplier in the free market, even if it belongs to the same business group, it seems clear that they are not assuming the same rights and obligations of the CUR, that is, they are not subrogating to the CUR (...) it is actually a change of supplier, which necessarily requires the express consent of the consumer in accordance with the provisions of the First Additional Provision of Order ITC/1659/2009." (folio 364).</w:t>
      </w:r>
    </w:p>
    <w:p>
      <w:r>
        <w:t>Nor can the argument be accepted that it complied with the spirit of the law since its conduct accelerated the process of entry of consumers without the right to TUR into the free market, as the legislator intended, and benefited them in that it prevented them from suffering penalties in the price and avoided supply cuts, which would have had negative effects on the company's commercial image.</w:t>
      </w:r>
    </w:p>
    <w:p>
      <w:r>
        <w:t>In the Report accompanying the allegations, it is established that "the subrogation was a reasonable action in the existing regulatory context and responsible to avoid harm to consumers." However, if the only objective of the company were this, IBERCUR would have sent the second batch of letters to all consumers in this situation (470,791) and not to a segment of them (339,012, 72%). In this regard, IBERDROLA acknowledges that the number of recipients of the first batch and the second differ, among other reasons, due to the existence of "Industrial Customers and Public Administrations that Iberdrola decides to contact through personal managers to undertake direct negotiation" (folios 600 and 601), thus acknowledging that a selective treatment of the transferred consumers was made. If it had truly only pursued the benefit of the affected consumers, it would have proceeded to transfer all of them, without making distinctions.</w:t>
      </w:r>
    </w:p>
    <w:p>
      <w:r>
        <w:t>Additionally, contrary to what IBERDROLA and IBERCUR argue, even if the practice of subrogation were necessary to avoid negative effects on the company's commercial image, the excessive immediacy with which this conduct was carried out, following the approval of Order ITC/1659/2009, does not seem necessary. The conduct does not prevent consumers from suffering the harm of supply cuts, since at the time the second batch is sent, cuts were not yet applicable. Moreover, when the letters of January and March 2010 are sent, Order ITC/3519/2009, of December 28, has already been published, which, in its Third Transitional Provision, established an extension of the situation until December 31, 2010. Neither was the penalty in the tariff applicable to low voltage customers, as it only began to apply on April 1, 2010, a date after the last of the second batch shipments.</w:t>
      </w:r>
    </w:p>
    <w:p>
      <w:r>
        <w:t>The CNE expresses itself in the same line in its informative file of July 27, 2010, when referring to the actions of IBERDROLA and another of its competitors, it states the following: "It is also observed that both companies presented their actions as aimed at minimizing the economic impact of the surcharge provided by the regulations for customers without the right to TUR who had not chosen a supplier. However, neither of them transferred all of those customers, but rather made a selective transfer (...). Therefore, it can be understood that the behaviors actually responded to the objective of maintaining only the most profitable customers within the business group and those to whom an attractive offer could be made, lower than the dissuasive price."</w:t>
      </w:r>
    </w:p>
    <w:p>
      <w:r>
        <w:t>On the other hand, these consumers, in a liberalized market, could have been subject to different offers from other competitors that could have been more beneficial than those offered by IBERDROLA, so it cannot be concluded that they were necessarily benefited. Logically, the spirit of the legislator is to proceed with the liberalization in the most agile way possible, but not at the cost of limiting the beneficial effects of it for the consumer. If agility had been the only motivation of the legislator, it would have regulated an automatic transfer of contracts, as it did in the case of consumers with the right to last resort tariff. However, it established penalties and the threat of supply interruption, with effective dates, aimed at provoking consumers to sign as soon as possible with a supplier in the free market. If it chose to establish differences in the procedure, in the case of consumers without the right to last resort tariff, it is because it considered that, in this case, the option of automatic transfer was not the most appropriate. It is logical to think that the legislator sought a solution that maintained a reasonable balance between the liberalization of the sector, the defense of competition, and the protection of the consumer, taking into account the different types of consumers.</w:t>
      </w:r>
    </w:p>
    <w:p>
      <w:r>
        <w:t>Finally, regarding the transparency of the conduct before the CNE, it is pertinent to highlight that IBERDROLA communicated its actions to the CNE in a meeting that took place once it had already begun, and after the meeting, the CNE initiated an Informative File in which it concluded that the action could be contrary to Order ITC 1659/2009, referring the facts to this Commission for the application of the competition defense regulations.</w:t>
      </w:r>
    </w:p>
    <w:p>
      <w:r>
        <w:t>And regarding transparency before consumers, the assertion that they had the opportunity to oppose the change of supplier does not hold, as the system used for sending does not allow for confirmation of the receipt of the letters by their recipients (paragraphs 163 to 165 of the PCH) and their express consent was not obtained as required by the regulations. In any case, and regardless of the system for sending the letters, the truth is that the requirements demanded by the regulatory regulations were not met, so raising any other type of debate is absolutely futile.</w:t>
      </w:r>
    </w:p>
    <w:p>
      <w:r>
        <w:t>The Council considers that none of the allegations undermine the established fact that the conduct infringes the provisions of the First Additional Provision of Order ITC/1659/2009.</w:t>
      </w:r>
    </w:p>
    <w:p>
      <w:r>
        <w:t>On the qualification of the conduct from the perspective of Law against unfair competition. To attribute it as unfair, once it has been established that the conduct constitutes a violation of the norm, the assessment of the action must be carried out under Article 15 of the Unfair Competition Law.</w:t>
      </w:r>
    </w:p>
    <w:p>
      <w:r>
        <w:t>The Council takes into consideration that in the first paragraph, the First Additional Provision of the Order in question grants a right to consumers, that of expressly manifesting their consent to the change of supplier, and in the second establishes a burden or duty on suppliers that protects the granted right. To the extent that this granting of rights and duties responds to the protection of those in a weaker position, the consumers, the First Additional Provision of Order ITC/1659/2009 regulates how the competitive behaviors of the agents operating in the retail electricity supply market are carried out.</w:t>
      </w:r>
    </w:p>
    <w:p>
      <w:r>
        <w:rPr>
          <w:b/>
        </w:rPr>
        <w:t>[Pages 28–30]</w:t>
      </w:r>
    </w:p>
    <w:p>
      <w:r>
        <w:t xml:space="preserve">Therefore, from the perspective of the Unfair Competition Law, we are faced with an action that constitutes a violation of a norm aimed at regulating competitive activity, and consequently, it is unfair according to Article 15.2 of the same law.  </w:t>
        <w:br/>
        <w:t xml:space="preserve">Both IBERDROLA and IBERCUR argue that their conduct does not constitute a violation of a norm aimed at regulating competitive activity. They state that until the notification of the Proposal for Resolution (PR), they were unaware of whether the accusation was for a violation of Article 15.1 or 15.2 of the Unfair Competition Law (LCD), which they consider a violation of their right to defense, and they connect Article 4.3 of Order ITC/1659/2009 with the First Additional Provision of the same Order to interpret that one provision and the other refer to different scenarios. They conclude their argument by interpreting that the aforementioned Additional Provision does not aim to regulate competitive activity.  </w:t>
        <w:br/>
        <w:t xml:space="preserve">Contrary to what IBERDROLA and IBERCUR assert, the PCH already clearly established the prohibition of Article 15 of the LCD that is considered infringed, specifically in paragraphs 153 and 154, which are reproduced literally below.  </w:t>
        <w:br/>
        <w:t xml:space="preserve">“However, it is noted that the conduct carried out by IBERDROLA, IBERCUR, and IBERDROLA GENERACIÓN, consisting of the transfer of contracts from the last resort supplier to the supplier in the free market, without obtaining the express consent of the consumer, required by sector regulations, could constitute a violation of Article 3 of the LDC, which prohibits 'acts of unfair competition that, by distorting free competition, affect the public interest.' Specifically, Law 3/1991, of January 10, on Unfair Competition (hereinafter, LCD) establishes in its Article 15 the following:  </w:t>
        <w:br/>
        <w:t xml:space="preserve">'1. It is considered unfair to take advantage in the market of a competitive advantage acquired through the violation of laws. The advantage must be significant.  </w:t>
        <w:br/>
        <w:t xml:space="preserve">2. The simple violation of legal norms aimed at regulating competitive activity will also be considered unfair.'  </w:t>
        <w:br/>
        <w:t xml:space="preserve">Therefore, it will be analyzed whether all the necessary requirements are met to conclude the violation of Article 3 of the LDC, that is, whether there has been a violation of norms regulating competitive activity, acquiring the responsible parties, as a consequence, a competitive advantage that distorts free competition and whether the conduct has affected the public interest.”  </w:t>
        <w:br/>
        <w:t xml:space="preserve">If the PCH conducts an analysis to determine whether there has been a violation of the norm regulating competitive activity, it is evident that it is done from the perspective of paragraph 2 of Article 15 of the LCD. Therefore, it cannot be claimed that there was no knowledge of the infringed provision and that their rights of defense have been violated. In fact, the debate regarding the concurrence of the requirements of that provision shows that the infringers were fully aware of the accusation and did not spare arguments in their attempt, in our opinion fruitlessly, to distort it.  </w:t>
        <w:br/>
        <w:t xml:space="preserve">After this initial assessment of possible defenselessness, IBERDROLA and IBERCUR argue that the First Additional Provision of Order ITC/1659/2009 should be interpreted within the framework of the entirety of that Order and not in isolation. With this reasoning, they argue that not every change of supplier requires the express consent of the customer, that there must be a distinction between changes within the same group and those in which the change occurs between suppliers of different groups, and that the Additional Provision may be a general rule applicable to transfers between suppliers and Article 4.3 of the Order a specific rule for consumers without the right to TUR.  </w:t>
        <w:br/>
        <w:t xml:space="preserve">This interpretation does not arise at any time from the literal wording of the cited Order. Furthermore, if it is a matter of connecting the regulation of the sector, the spirit that emerges from the sector regulations is precisely the opposite, showing a special concern on the part of the regulator regarding the transfer of contracts between companies belonging to the same business group.  </w:t>
        <w:br/>
        <w:t xml:space="preserve">In fact, Article 6 of Royal Decree 485/2009 establishes the following:  </w:t>
        <w:br/>
        <w:t xml:space="preserve">“2. If a consumer covered by the last resort tariff who is supplied by a last resort supplier opts to change suppliers, neither the original last resort supplier nor any other supplier from its same business group may make counter-offers to that consumer until one year has passed.”  </w:t>
        <w:br/>
        <w:t xml:space="preserve">Therefore, neither explicitly nor implicitly does the regulation intend to make any distinction in the processes of changing suppliers if this occurs between companies of the same business group, and in administrative regulation, only what is expressly permitted is not prohibited. In this case, the general principle of interpretation of norms applies: “ubi lex non distinguit nec nos distinguere debemus.” If the law does not distinguish, we must not distinguish.  </w:t>
        <w:br/>
        <w:t xml:space="preserve">The CNE, in its report of June 23, 2010, received on June 24, concludes in the same sense the following (folio 365):  </w:t>
        <w:br/>
        <w:t xml:space="preserve">“In light of all the above, it is interpreted that the need to obtain the express consent of the consumer for the change of supplier referred to in the First Additional Provision of Order ITC/1659/2009 must apply to all changes of supplier, including changes from the last resort supplier to the supplier in the free market that occur within the same business group.”  </w:t>
        <w:br/>
        <w:t xml:space="preserve">Therefore, the procedure for changing suppliers within the same business group must comply with the general procedure established in the regulation (see Proven Fact 2.5), that is, the new supplier, once it has obtained the express will of the consumer to proceed with the contracting of the electricity supply with it and its authorization to act on its behalf for the contracting of access to the networks with the distributor, must submit its request to the distributor, transferring the necessary data for the supply.  </w:t>
        <w:br/>
        <w:t xml:space="preserve">Admitting different procedures for some and others suppliers, depending on their belonging or not to business groups, would constitute a violation of the basic rights enshrined in the LSE.  </w:t>
        <w:br/>
        <w:t xml:space="preserve">In this same sense, the CNE states, in the aforementioned report of June 23, 2010, where it indicates: “The second reason why the need for express consent cannot be avoided in the transfer of customers from a CUR to a free market supplier affiliated with the same business group is related to the basic right, recognized in the Electric Sector Law, of all suppliers to access the networks and, therefore, to the supply points connected to them, on equal, objective, transparent, and non-discriminatory terms.” (folio 364)  </w:t>
        <w:br/>
        <w:t xml:space="preserve">On the distortion of free competition  </w:t>
        <w:br/>
        <w:t xml:space="preserve">The Council shares with the DI that the action of IBERDROLA took place at a special moment in time when the necessary circumstances had been established to intensify competition by definitively allowing distributors to cease marketing, enabling suppliers to capture a group of customers, those supplied by a last resort supplier without the right to the last resort tariff, attractive due to their volume and consumption levels. Even without assessing the commercial attractiveness of the consumers to whom the imputed conduct was directed compared to that of an average consumer in the retail electricity market, it is indisputable that, as the letters were not sent to all consumers transferred from the distributor to the last resort supplier, a selection was made among them that logically excluded the less attractive ones.  </w:t>
        <w:br/>
        <w:t xml:space="preserve">On the other hand, if the percentage of recipients of the second batch of letters who were ultimately transferred without their express consent, 79.1% (see Proven Fact 3.3), is higher than the loyalty rate, measured as the percentage of supply points of IBERDROLA in the free market supplied by the group supplier, 73.8% in the third quarter of 2009, it is evident that the conduct resulted in a reduction of the market size that other suppliers could reasonably capture. The same conclusion is reached by comparing the number of consumers without the right to TUR who, one year later, continued to be temporarily supplied by IBERCUR, 5% of those assumed under Article 3 of Royal Decree 485/2009, with those who remained with the last resort suppliers of the other distributors (see Proven Fact 3.1).  </w:t>
        <w:br/>
        <w:t>The loyalty rate as defined above is one of the data that the CNE uses to evaluate progress in the liberalization of the sector in its “Reports on the supervision of the retail electricity market.” In the one corresponding to October 2008-September 2009, as already indicated, the loyalty rate to IBERDROLA in the third quarter of 2009 is 73.8%. It is worth noting that the sending of the second batch of letters took place in August.</w:t>
      </w:r>
    </w:p>
    <w:p>
      <w:r>
        <w:rPr>
          <w:b/>
        </w:rPr>
        <w:t>[Pages 31–33]</w:t>
      </w:r>
    </w:p>
    <w:p>
      <w:r>
        <w:t>2009. Well, in the fourth quarter of 2009, that share had risen to 79%, reaching 81% in the fourth quarter of 2010, according to the data contained in the supervision report corresponding to the second half of 2010. Given this data, it is evident that this increase in loyalty, significant in absolute terms considering IBERDROLA's share in this market, reflects a strengthening of the entry barrier represented by consumer loyalty towards distributors and, therefore, towards the group's marketer.</w:t>
      </w:r>
    </w:p>
    <w:p>
      <w:r>
        <w:t xml:space="preserve">On the impact on public interest  </w:t>
        <w:br/>
        <w:t>The impact on public interest is one of the necessary requirements to appreciate the concurrence of the objective element of the type when it comes to violations of Article 3 of the LDC. This has been emphasized by this Council by stating that "in the face of a complaint of violation of Article 3 of the LDC, the instructing body must first analyze the concurrence of the requirement of impact on public interest, taking into account factors such as the nature of the conduct, the structure of the market, the good or service affected, etc.; that is, the affected legal and economic context, so that if after this analysis there are no indications that the conduct is capable of distorting effective competition, it is not only superfluous to carry out a legal qualification of the conduct from the perspective of Law against unfair competition, but such qualification lacks any legal relevance to the extent that the requirement enabling the Competition Authority to sanction acts of unfair competition does not concur." (RCNC of December 15, 2011, file S/0350/11 ROAD ASSISTANCE)</w:t>
      </w:r>
    </w:p>
    <w:p>
      <w:r>
        <w:t>Applying these criteria to this case, it is sufficiently accredited that the conduct consists of a violation of the norm that occurs at the moment when the liberalization of the retail electricity supply market was about to unfold all its effects. Free marketers could compete for consumers who were to be temporarily supplied by a CUR, and for them, the possibility of finding better supply alternatives was opened.</w:t>
      </w:r>
    </w:p>
    <w:p>
      <w:r>
        <w:t>Regarding the competition problems that arose in this context and the positioning of distributors in the face of the opening to supplier changes, this Council expressed itself in its Resolution of May 13, 2011, file S/0159/09, UNESA AND ASSOCIATES, in which it stated that "The conducts, to the extent that they hinder customers from switching to an independent marketer, reinforce market inertia and limit the effect of liberalization." And this is exactly what is also evidenced in the file at hand.</w:t>
      </w:r>
    </w:p>
    <w:p>
      <w:r>
        <w:t>On the other hand, the supply of electricity is a basic input of the economy, and, in this case, relevant to the group to which the conduct is directed. Being largely consumers connected at low voltage, with contracted power exceeding 10KW and who until July 1, 2009, had the right to the last resort tariff, it is not far-fetched to assert that they were predominantly small and medium-sized enterprises that received the letters (339,012).</w:t>
      </w:r>
    </w:p>
    <w:p>
      <w:r>
        <w:t>Therefore, taking into account the legal and economic context in which the imputed conduct occurs, the liberalization of the retail electricity supply market, the group to which it was directed, small and medium-sized enterprises, and the affected service, a basic input for companies and a basic necessity service for domestic consumers, this Council has no doubt that the conduct has affected public interest.</w:t>
      </w:r>
    </w:p>
    <w:p>
      <w:r>
        <w:t>Therefore, the Council considers that all the necessary requirements are met to qualify the conduct as prohibited in accordance with the provisions of Article 3 of the Competition Defense Law.</w:t>
      </w:r>
    </w:p>
    <w:p>
      <w:r>
        <w:t>And although it is not relevant for the qualification, the Council wishes to comment on IBERDROLA's allegation that it has not obtained a competitive advantage. The Council considers that other marketers did not have the opportunity to compete with IBERDROLA on equal terms, as their access to consumer information could not occur with the same ease and speed, reducing customers' choices at that particular moment in time. Marketers who, in addition, had to design their strategy knowing that they had to obtain the express consent of consumers interested in changing suppliers. By getting ahead of other competitors and incurring lower acquisition costs, IBERDROLA was able to obtain higher profits.</w:t>
      </w:r>
    </w:p>
    <w:p>
      <w:r>
        <w:t>On the other hand, even though IBERDROLA reported that no penalty would be applied in the event of changing suppliers, the penalizing clause that appeared in its particular conditions could act as a disincentive to changing suppliers. But even assuming that the transferred customers had full freedom to contract with a second marketer without incurring a penalty, the margins available to marketers to offer after the first change were insufficient to achieve a second change. They would have to bear the costs arising from the fact that consumers are more receptive to accepting a first price reduction than to accepting possible future marginal reductions, which are of lesser magnitude but additional.</w:t>
      </w:r>
    </w:p>
    <w:p>
      <w:r>
        <w:t>For all these reasons, it can be concluded that, with the imputed conduct, IBERDROLA has acquired a competitive advantage in the market, hindering the possibility of customers being captured by other marketers not integrated into the Group. On this allegation, see the assessment regarding the acquisition of a competitive advantage included in paragraphs 189 to 238 of the PCH (folios 1484 to 1492).</w:t>
      </w:r>
    </w:p>
    <w:p>
      <w:r>
        <w:t xml:space="preserve">THIRD.- Period of the infringement  </w:t>
        <w:br/>
        <w:t>The conduct begins with the start of sending the second batch of letters, in the first week of August 2009, when customers are informed that their contract will be transferred, and ends with the last sending of the letters, in the third week of March 2010, in which customers are informed that the transfer has been carried out. As the conduct has developed, this Council considers that we are facing a plan devised for which the intervention of the last resort marketer and the marketer in the free market was necessary, a function first assumed by IBERDROLA and later by IBERDROLA GENERATION. For this reason, we understand that the period during which the infringement is committed should be attributed globally to all the companies without whose participation its implementation would not have been possible.</w:t>
      </w:r>
    </w:p>
    <w:p>
      <w:r>
        <w:t xml:space="preserve">FOURTH.- Calculation of the fine  </w:t>
        <w:br/>
        <w:t xml:space="preserve">According to Article 63 of the Competition Defense Law, serious infringements may be sanctioned with a fine of up to 5% of the total turnover of the infringing company.  </w:t>
        <w:br/>
        <w:t xml:space="preserve">To define the scope of the infringement, it is necessary to take into account that 339,012 shipments were made in the second week of August 2009 (second batch of letters), in which customers were informed of the intention to transfer them to another company without obtaining their express consent. The sending of letters continued until the sending of the fourth batch on March 18, 2010. That is to say, the conduct was carried out over eight months.  </w:t>
        <w:br/>
        <w:t xml:space="preserve">The expected result of this conduct is that a certain number of consumers who, in the absence of the analyzed conduct, could have opted to be supplied by other competing companies, remained with the Group Iberdrola's free marketer.  </w:t>
        <w:br/>
        <w:t xml:space="preserve">For this reason, to determine the volume of sales affected by the infringement, the total number of customers to whom the practice was directed should not be taken into account, nor the number of customers who were transferred to IBERDROLA S.A. A significant portion of the customers leaving the regulated market for the free market did not necessarily leave the business group of which they were already customers, but continued to be supplied by the same business group but through the marketing company of the same. Therefore, the number of customers must be reduced to exclude all those who would have remained with the group's marketer in any case. This criterion for estimating the affected sales volume was used by the Council in its Resolution of July 29, 2011, file S/0184/09 GAS NATURAL.  </w:t>
        <w:br/>
        <w:t>Considering that the anticompetitive practice targeted 339,012 consumers and based on the loyalty rate of 73.08% existing in the free market prior to the transfer of customers, we can estimate that 88,821</w:t>
      </w:r>
    </w:p>
    <w:p>
      <w:r>
        <w:rPr>
          <w:b/>
        </w:rPr>
        <w:t>[Pages 34–35]</w:t>
      </w:r>
    </w:p>
    <w:p>
      <w:r>
        <w:t xml:space="preserve">the number of customers who have remained as customers of IBERDROLA S.A. as a result of the identified practice. To calculate the sales volume attributable to this number of customers, the average monthly consumption of supply points without the right to the Last Resort Tariff but supplied by Last Resort Marketers, published in the CNE's bulletins of electrical and economic indicators, has been used as an approximation of the consumption of the mentioned customers. Regarding the estimation of the contracted power, it has been considered that, given that in all cases it is above 10KW, a reasonable average would be 15KW for all months of the duration of the infringement, although the actual average figure is likely to be higher. Applying to these data the rates that were applied to consumers who were substituted to IBERDROLA S.A., including the discounts, the sales volume that IBERDROLA would have obtained from the infringement would be 213,700,000 euros. Given that it is a serious infringement, the Council considers a percentage of 5% to be appropriate for the calculation of the penalty, which means a fine of 10,685,000 euros.  </w:t>
        <w:br/>
        <w:t xml:space="preserve">The three parties involved shall be jointly liable for this penalty to the extent that, in accordance with the legal grounds set forth in the preceding sections of this Resolution, the participation of all three infringers has been necessary for the commission of the infringement in question. In this regard, IBERDROLA GENERATION is considered responsible for the infringement since, firstly, it benefits from it and, secondly, its participation is necessary from a certain point onward, given the role it assumes as a marketer in the free market, for the consummation of the infringement.  </w:t>
        <w:br/>
        <w:t xml:space="preserve">Based on the above, the Council of the National Competition Commission in the composition stated at the beginning, having seen the cited provisions and other generally applicable ones,  </w:t>
        <w:br/>
        <w:t xml:space="preserve">RESOLVES  </w:t>
        <w:br/>
        <w:t xml:space="preserve">FIRST.- To declare that in this file an infringement of Article 3 of the Competition Defense Law has been established, for which IBERDROLA, S.A., IBERDROLA CUR, S.A.U. and IBERDROLA GENERATION, S.A.U. are responsible.  </w:t>
        <w:br/>
        <w:t xml:space="preserve">SECOND.- To impose a sanctioning fine on IBERDROLA S.A., IBERDROLA CUR S.A.U. and IBERDROLA GENERATION S.A.U. in the amount of 10,685,000 euros, for which they will be jointly liable.  </w:t>
        <w:br/>
        <w:t>THIRD.- To urge the Directorate of Investigation to monitor and ensure the full compliance with this Resolution.</w:t>
      </w:r>
    </w:p>
    <w:p>
      <w:r>
        <w:t>Communicate this Resolution to the Directorate of Investigation of the CNC and notify the interested parties, informing them that there is no administrative appeal against it, and that they may file a contentious-administrative appeal in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