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https://www.cnmc.es/expedientes/s022310</w:t>
      </w:r>
    </w:p>
    <w:p>
      <w:r>
        <w:t>Pages translated : 5</w:t>
      </w:r>
    </w:p>
    <w:p/>
    <w:p>
      <w:r>
        <w:rPr>
          <w:b/>
        </w:rPr>
        <w:t>[Pages 1–3]</w:t>
      </w:r>
    </w:p>
    <w:p>
      <w:r>
        <w:t xml:space="preserve">RESOLUTION  </w:t>
        <w:br/>
        <w:t xml:space="preserve">Expte. S/0223/10 Harley Davidson  </w:t>
        <w:br/>
        <w:t xml:space="preserve">Council  </w:t>
        <w:br/>
        <w:t xml:space="preserve">Mr. Luis Berenguer Fuster,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In Madrid, on July 27, 2010  </w:t>
        <w:br/>
        <w:t>The Council of the National Competition Commission, with the composition expressed and being the Rapporteur Councilor Mr. Julio Costas Comesaña, has issued the following Resolution in the reserved information file S/0223/10, opened by the Directorate of Investigation by virtue of the complaint filed by XXX against the companies HARLEY DAVIDSON ESPAÑA, S.L. and MÁQUINAS AMERICANAS, S.L., for alleged restrictive practices of competition prohibited in Law 15/2007, of July 3, on the Defense of Competition, consisting of eliminating the manufacturer's warranty of the motorcycle for not having performed the corresponding maintenance at an official workshop, and charging the repair invoice.</w:t>
      </w:r>
    </w:p>
    <w:p>
      <w:r>
        <w:t xml:space="preserve">FACTUAL BACKGROUND  </w:t>
        <w:br/>
        <w:t xml:space="preserve">1. On January 26, 2010, a complaint previously submitted by XXX to the Competition Defense Tribunal of the Valencian Community on September 18, 2009, was received by the National Competition Commission (hereinafter, CNC), filing a complaint against HARLEY DAVIDSON ESPAÑA, S.L. and MÁQUINAS AMERICANAS, S.L., for alleged restrictive practices of competition prohibited in Law 15/2007, of July 3, on the Defense of Competition (hereinafter, LDC), consisting of eliminating the 2-year warranty of the motorcycle from this brand, for not having performed the corresponding maintenance for the first inspection (1,800 kilometers) at an official workshop, and charging the repair invoice.  </w:t>
        <w:br/>
        <w:t xml:space="preserve">2. In order to ascertain the reality of the facts as much as possible to determine if there were indications of infringement, the Directorate of Investigation (hereinafter, DI), in accordance with the provisions of Article 49.2 of the LDC, agreed to carry out a reserved information as a preliminary step to the initiation of the corresponding sanctioning file, if appropriate in its case.  </w:t>
        <w:br/>
        <w:t>3. The complainant, XXX, is the husband of the owner of the damaged motorcycle and owner of FERCA MÓVIL, S.L., an official dealer of FORD automobiles in the province of Alicante, where the first mandatory inspection of the motorcycle corresponding to 1,800 kilometers was carried out.</w:t>
      </w:r>
    </w:p>
    <w:p>
      <w:r>
        <w:t xml:space="preserve">The accused HARLEY DAVIDSON ESPAÑA, S.L. is the importer and representative for Spain of HARLEY DAVIDSON, an American multinational motorcycle manufacturer founded in 1903. The also accused MÁQUINAS AMERICANAS, S.L., at the time of the reported incidents, was the official dealer in Alicante for the HARLEY DAVIDSON brand, and the complainant went to them to repair his motorcycle, determining that the cause of the malfunction was a defective handling of the injection control unit connector, which had caused its misalignment.  </w:t>
        <w:br/>
        <w:t xml:space="preserve">4. On June 2, 2010, in compliance with the provisions of Article 49.3 of the LDC and Article 27 of RD 261/2008, which approves the Competition Defense Regulation (hereinafter, RDC), in view of the complaint and the actions taken, the DI submitted to this Council a Proposal for Filing in which it proposes not to initiate the sanctioning procedure, as well as the filing of the actions taken as a consequence of the aforementioned complaint, considering that there are no indications of infringement of the mentioned Law. For these purposes, the DI has forwarded to the Council the complaint and the actions taken by that Directorate.  </w:t>
        <w:br/>
        <w:t xml:space="preserve">5. In the Proposal for Filing from the DI, the following relevant background for the resolution of this file is noted:  </w:t>
        <w:br/>
        <w:t xml:space="preserve">"1. The complainant states that he registered his Harley Davidson motorcycle, model Electra Ultra Classic, on November 10, 2008, although it had previously been registered in the United Kingdom on August 9, 2008, (folio 480), and that during a trip in July 2009 between Asturias and Alicante, he had a breakdown in Madrid, being transported by tow truck to the official Harley Davidson dealer in Alicante, MÁQUINAS AMERICANAS, S.L.  </w:t>
        <w:br/>
        <w:t xml:space="preserve">2. There, the complainant informed this Harley Davidson dealer that he had performed the first mandatory inspection, corresponding to 1,800 kilometers, at the facilities of the official Ford dealer in Guardamar, Alicante, which he owns.  </w:t>
        <w:br/>
        <w:t xml:space="preserve">3. According to the complaint, MÁQUINAS AMERICANAS, S.L. informs the complainant that by having performed the first inspection outside a brand dealership, he loses the two-year warranty, having to pay for the repair, (folio 8).  </w:t>
        <w:br/>
        <w:t xml:space="preserve">4. In the reserved information carried out by the Tribunal of the Valencian Community, it concludes that, regardless of whether or not there is an infringement of Law 15/2007, of July 3, on the Defense of Competition, since the warranty policy of HARLEY DAVIDSON ESPAÑA, S.L. has at least a national scope, the requirements contemplated in Article 1.1 of Law 1/2002, of February 21, on the Coordination of the competences of the State and the Autonomous Communities in matters of Defense of Competition, are met, and, therefore, it is the National Competition Commission that has jurisdiction over this file, (folio 1)."  </w:t>
        <w:br/>
        <w:t>6. The Council of the National Competition Commission deliberated and ruled this Resolution in its meeting of July 14, 2010.</w:t>
      </w:r>
    </w:p>
    <w:p>
      <w:r>
        <w:t xml:space="preserve">LEGAL BASIS  </w:t>
        <w:br/>
        <w:t xml:space="preserve">First.- Article 49.3 of the LDC stipulates that the Council, upon proposal from the DI, may decide not to initiate sanctioning proceedings for the alleged conduct prohibited in Articles 1, 2, and 3 of the aforementioned Law and, consequently, to file the actions taken when it considers that there are no indications of infringement.  </w:t>
        <w:br/>
        <w:t xml:space="preserve">Article 25.1 of the RDC, regarding the initiation of sanctioning proceedings, stipulates that it will always be initiated ex officio by the DI, by virtue of its own initiative, by complaint, or at the initiative of the Council of the National Competition Commission. Paragraph 5 of this regulatory provision adds that the formulation in the form of a complaint does not bind the DI to initiate sanctioning proceedings, and that the resolution of the Council to file the actions must indicate the reasons why the initiation of the procedure is not appropriate in accordance with Article 49 of the LDC, which will be communicated to the complainant.  </w:t>
        <w:br/>
        <w:t xml:space="preserve">As noted in the Factual Background (FB) 4 of this Resolution, the DI concluded the actions proposing to the Council not to initiate sanctioning proceedings, as well as to file them, considering that there were no indications of infringement of the LDC.  </w:t>
        <w:br/>
        <w:t xml:space="preserve">Second.- The complaint points to the existence of an agreement between the accused companies that restricts the freedom of choice of workshop for the owner of the Harley Davidson motorcycle, to the extent that the manufacturer's warranty would be conditioned on the maintenance and repair operations being carried out at official brand workshops, a conduct that could affect the normal development of competition between official brand workshops and independent workshops.  </w:t>
        <w:br/>
        <w:t>From the responses sent by HARLEY DAVIDSON ESPAÑA, S.L. at the request of the DI, to provide a copy of the warranty received by the consumer upon purchasing a motorcycle of its brand, as well as specific information regarding where to carry out the maintenance of their motorcycle, it concludes that: (1) according to Harley Davidson's warranty policy, a motorcycle does not lose its warranty for having been serviced at a non-official workshop; (2) HARLEY DAVIDSON ESPAÑA, S.L. does not intervene in the execution of the official warranty except to finance the reimbursement of its cost (folio 128), while it is the official workshops that assess whether the requested repair is covered by the warranty or not and who decide it without the intervention of the parent company; (3) at the time of making this assessment, commercial discrepancies may arise with end customers; (4) official workshops do not inform HARLEY DAVIDSON ESPAÑA, S.L. of all and each of the daily incidents that may arise with their customers, so the parent company rarely knows about them, as has happened in the case of this file; (5) based on the information requested by the DI, HARLEY DAVIDSON ESPAÑA, S.L. has been able to ascertain that the motorcycle in question was taken for repair to the official dealer, MÁQUINAS AMERICANAS, S.L., which ended its representation contract for HARLEY DAVIDSON as an official dealer in February 2010; (6) despite this, and through the previous head of technical service, they have been able to determine that the cause of the malfunction was a poorly mounted part, the injection control unit connector that the customer acknowledged he had mounted himself, and for this reason they state that the warranty could not be processed, and part of the labor (one hour) should be charged; (7) Harley Davidson considers that even though the reasons of the dealer for not processing the warranty for a specific breakdown may always be subject to assessment, it never...</w:t>
      </w:r>
    </w:p>
    <w:p>
      <w:r>
        <w:rPr>
          <w:b/>
        </w:rPr>
        <w:t>[Pages 4–5]</w:t>
      </w:r>
    </w:p>
    <w:p>
      <w:r>
        <w:t>losing (folio 417) and to record it, he states in a signed and sealed letter sent to the plaintiff, dated May 4, 2010, in which he acknowledges that his motorcycle is covered until August 30, 2010, by the contractual warranty (folio 476).</w:t>
      </w:r>
    </w:p>
    <w:p>
      <w:r>
        <w:t>For its part, the official dealer MÁQUINAS AMERICANAS, S.L., in response to the information request made by the DI, states that "the fact that the motorcycle [subject of this file] underwent its inspection in its own workshop is not the reason that this repair was not covered by the warranty" and that, furthermore, "...the total warranty is never lost, only when a part is tampered with and this causes the breakdown is when specifically that repair would not be covered by the warranty," (folio 479).</w:t>
      </w:r>
    </w:p>
    <w:p>
      <w:r>
        <w:t>Third.- In view of the above information, the Council shares the legal assessment made by the DI in the sense that there are no indications of infringement of the prohibition of collusive agreements in Article 1 of the LDC.</w:t>
      </w:r>
    </w:p>
    <w:p>
      <w:r>
        <w:t>The distribution and after-sales services of motorcycles are not covered by Regulation EC 1400/2002, relating to the application of Article 81.3 of the EC Treaty (currently Article 101 of the Treaty on the Functioning of the European Union) to certain categories of vertical agreements and concerted practices in the motor vehicle sector, since among the definitions contained in its Article 1, motor vehicles are characterized as "a self-propelled vehicle with three or more wheels intended for use on public roads" (a definition that is maintained in Article 1.g of the current Regulation EU 461/2010, of May 27). Therefore, the general regulations regarding vertical restrictions contained in Regulation 2790/1999, of December 22 (currently contained in Regulation EU 330/2010, of April 20, 2010), is the legal framework for analyzing from the perspective of competition defense the distribution and after-sales services of motorcycles.</w:t>
      </w:r>
    </w:p>
    <w:p>
      <w:r>
        <w:t>In this regard, it is necessary to clarify whether, in light of the described facts, HARLEY DAVIDSON ESPAÑA is imposing any type of restriction on competition arising from the application of its warranty system in its vertical relationships with its official network. In particular, whether the warranty policy of this company includes an obligation to carry out repairs and maintenance of a motorcycle only within the authorized network, in which case it would violate the consumer's right to choose an independent workshop for the repair and maintenance of the motorcycle, and would prevent these repair workshops from effectively competing with those integrated into the authorized network of the brand. If so, it could be considered that the distribution agreements of this brand are not covered by Regulation EC 2790/1999, falling fully within the scope of the prohibition of collusive agreements in Article 1.1 of the LDC.</w:t>
      </w:r>
    </w:p>
    <w:p>
      <w:r>
        <w:t>However, there are not sufficient indications of such infringement in the information gathered and contained in the file. The Council considers that in the present case, the dealer MÁQUINAS AMERICANAS, S.L. applied Harley Davidson's warranty policy, and upon considering that the breakdown had been caused by improper intervention by third parties, charged the labor to its customer. In the Owner's Manual and in the Warranty Manual of the company, it states that "Harley Davidson guarantees for any motorcycle that an authorized dealer will repair or replace at no cost any part that is defective in factory materials under normal use conditions," and that "the warranty does not apply to any motorcycle that has not been maintained as specified in the Owner's Manual," (folios 141 and 142). The dealer therefore considered that the breakdown was due to defective maintenance performed outside of a dealership and that, for this reason, the warranty did not apply, which is why it charged for the labor of the repair it carried out. However, at no time did it annul the two-year warranty of the motorcycle, as has been emphasized (folio 479), with the parent company reiterating the same regarding the intervention of the dealer MÁQUINAS AMERICANAS, S.L. (folio 475), as well as the future of the customer's motorcycle (folio 476).</w:t>
      </w:r>
    </w:p>
    <w:p>
      <w:r>
        <w:t>Thus, it cannot be concluded that a warranty policy is being implemented that hinders the access of independent repair shops to the maintenance and repair services of the reference brand motorcycles. Likewise, the actions of the dealer do not seem to respond to any agreement with the parent company in this regard, but rather to the unilateral application to a specific case of the warranty policy established by the manufacturer.</w:t>
      </w:r>
    </w:p>
    <w:p>
      <w:r>
        <w:t>Regarding the controversy concerning who is responsible for paying the invoice for the motorcycle repair, the Council considers that it is a conflict between the parties of a sales contract that cannot have any repercussions on the competitive conditions in the market, which is why it does not fall within the jurisdiction of the National Competition Commission to rule on it.</w:t>
      </w:r>
    </w:p>
    <w:p>
      <w:r>
        <w:t>For all these reasons, in light of the cited provisions and those of general application, the Council of the National Competition Commission</w:t>
      </w:r>
    </w:p>
    <w:p>
      <w:r>
        <w:t>HAS RESOLVED</w:t>
      </w:r>
    </w:p>
    <w:p>
      <w:r>
        <w:t>SOLE.- Not to initiate sanctioning proceedings and to file the actions taken as a result of the complaint filed by XXX against the companies HARLEY DAVIDSON ESPAÑA, S.L. and MÁQUINAS AMERICANAS, S.L.</w:t>
      </w:r>
    </w:p>
    <w:p>
      <w:r>
        <w:t>1. Communicate this Resolution to the Directorate of Investigation and notify the complainant and the accused companies, informing them that this concludes the administrative process and that they may file an administrative contentious appeal against it before the National Court, within two months from the date of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