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https://www.cnmc.es/expedientes/s022610</w:t>
      </w:r>
    </w:p>
    <w:p>
      <w:r>
        <w:t>Pages translated : 17</w:t>
      </w:r>
    </w:p>
    <w:p/>
    <w:p>
      <w:r>
        <w:rPr>
          <w:b/>
        </w:rPr>
        <w:t>[Pages 1–3]</w:t>
      </w:r>
    </w:p>
    <w:p>
      <w:r>
        <w:t xml:space="preserve">Id. Cendoj: 28079230062013100087  </w:t>
        <w:br/>
        <w:t xml:space="preserve">Body: National Court. Administrative Litigation Chamber  </w:t>
        <w:br/>
        <w:t xml:space="preserve">Venue: Madrid  </w:t>
        <w:br/>
        <w:t xml:space="preserve">Section: 6  </w:t>
        <w:br/>
        <w:t xml:space="preserve">Resolution No.:  </w:t>
        <w:br/>
        <w:t xml:space="preserve">Date of Resolution: 05/03/2013  </w:t>
        <w:br/>
        <w:t xml:space="preserve">Appeal No.: 566/2011  </w:t>
        <w:br/>
        <w:t xml:space="preserve">Jurisdiction: Administrative Litigation  </w:t>
        <w:br/>
        <w:t xml:space="preserve">Rapporteur: LUCIA ACIN AGUADO  </w:t>
        <w:br/>
        <w:t xml:space="preserve">Procedure: ADMINISTRATIVE LITIGATION  </w:t>
        <w:br/>
        <w:t xml:space="preserve">Type of Resolution: Judgment  </w:t>
        <w:br/>
        <w:t xml:space="preserve">Summary:  </w:t>
        <w:br/>
        <w:t xml:space="preserve">Defense of Competition. Asphalts. Unconvincing alternative explanation. Legal relevance of the acknowledgment of facts by some of the accused companies. Quantification of the sanction: exceeding the limit established for the basic amount of the sanction reduces the fine. Assessment of the company's contributory capacity. Insufficient analysis by the CNC considering that the financial situation of a particular company should not modulate the amount of the sanction beyond what is already implied by taking its affected sales volume as a basis.  </w:t>
        <w:br/>
        <w:t xml:space="preserve">Language:  </w:t>
        <w:br/>
        <w:t xml:space="preserve">Spanish  </w:t>
        <w:br/>
        <w:t xml:space="preserve">JUDGMENT  </w:t>
        <w:br/>
        <w:t xml:space="preserve">Madrid, on the fifth of March two thousand thirteen.  </w:t>
        <w:br/>
        <w:t xml:space="preserve">Having seen the administrative contentious appeal No. 566/2011 brought before this Sixth Section of the Administrative Litigation Chamber of the National Court by MISTURAS OBRAS E PROXECTOS SA represented by the Attorney of the Courts Mr. Manuel Lanchares Perlado against the resolution of the Council of the National Competition Commission (CNC) of December 19, 2011, file S/00226/10, road tenders. The defendant Administration has been represented and defended by the State Attorney. The amount of the appeal is 1,601,900 euros.  </w:t>
        <w:br/>
        <w:t xml:space="preserve">FACTUAL BACKGROUND  </w:t>
        <w:br/>
        <w:t xml:space="preserve">SOLE: The legal representation of the plaintiff filed an administrative contentious appeal on October 31, 2011 against the resolution indicated in the heading of this judgment before this Administrative Litigation Chamber of the National Court. It was assigned to the sixth section where it was admitted for processing, requesting the administrative file. A claim was filed on May 11, 2012 requesting "a judgment declaring the present appeal well-founded:  </w:t>
        <w:br/>
        <w:t xml:space="preserve">"(i) declare that the First and Second Ordinals of the contested resolution regarding Misturas Obras e Proxectos SA are not in accordance with the law, and consequently annul them.  </w:t>
        <w:br/>
        <w:t xml:space="preserve">(ii) Alternatively, declare that the contested resolution regarding the monetary sanction imposed on MISTURAS OBRAS E PROXECTOS SA is not in accordance with the law and, therefore, annul the Second Ordinal of the dispositive part of said resolution or, failing that, modify it by substantially reducing the imposed sanction;  </w:t>
        <w:br/>
        <w:t xml:space="preserve">(iii) And in any of the previous cases, with express imposition of costs on the defendant Administration and ordering the CNC to publish, at its expense, the dispositive part of this judgment."  </w:t>
        <w:br/>
        <w:t xml:space="preserve">The State Attorney was summoned and responded to the claim by means of a written statement dated June 29, 2012. No request for evidence was made, and conclusions were presented by the parties. The proceedings were pending scheduling for voting and judgment on February 5, 2013, which was carried out for February 26, 2013.  </w:t>
        <w:br/>
        <w:t xml:space="preserve">HAVING SEEN the legal articles cited by the parties and others of general and pertinent application, and being the Rapporteur Ms. LUCIA ACIN AGUADO, Judge of the Section.  </w:t>
        <w:br/>
        <w:t xml:space="preserve">LEGAL REASONING  </w:t>
        <w:br/>
        <w:t xml:space="preserve">FIRST: The contested act is the resolution of November 19, 2011, of the Council of the National Competition Commission issued in file S/00226/10, road tenders.  </w:t>
        <w:br/>
        <w:t xml:space="preserve">In the dispositive part, it declares proven the commission by the sanctioned companies of an infringement of Article 1 of Law 15/2007 consisting of "the coordination of their competitive behaviors to alter the outcome of public tenders for the conservation, improvement, reinforcement, renewal, rehabilitation of pavements and platforms and, in particular, the amount of the reductions submitted to said tenders." It declares the appellant responsible among others and agrees to impose a fine of 1,859,885 euros.  </w:t>
        <w:br/>
        <w:t>The coordination mechanism operated in public tenders for the conservation, improvement, reinforcement, renewal, rehabilitation of pavements and platforms organized based on the restricted procedure in which the companies invited to submit an economic offer in the referred auctions held meetings to share for one or several tenders the offers they would present under competitive conditions. Once these competitive reductions (or initial reductions) were known, the companies would have agreed that the company that, according to said reductions, had resulted in the winner of the auction, would effectively be the final awardee of it, but agreeing for all companies new reductions (modified reductions) that would be the ones effectively presented by each of them and that would be lower than those they would have presented under competitive conditions. Subsequently, the competitive reductions of each company and the new reduction agreed upon by the winner were included along with the maximum budget of each work (obtained from the specifications) in the spreadsheets prepared for each tender, obtaining the monetary difference to be distributed and the amount corresponding to each company for participating in the tender by modifying its planned economic offer. (section 8 of the factual background).</w:t>
      </w:r>
    </w:p>
    <w:p>
      <w:r>
        <w:t xml:space="preserve">The CNC indicates that the aforementioned mechanism has operated in at least 14 public tenders. Regarding MISTURAS, the resolution charges it with having participated in 12 auctions.  </w:t>
        <w:br/>
        <w:t xml:space="preserve">On one hand, the tenders for the rehabilitation and reinforcement of pavements convened and awarded by the Directorate General of Roads of the Ministry of Development prior to December 16, 2008, in which the resolution charges Misturas with participating in a collusive agreement. Asturias 32-0-5460, Pontevedra 32-PO-3270, León 32-LE-400, and Cáceres 32-CC-1390 (hereinafter 2008 tenders).  </w:t>
        <w:br/>
        <w:t xml:space="preserve">On the other hand, 7 tenders for the rehabilitation and reinforcement of pavements awarded by the Directorate General of Roads of the Ministry of Development between April 1 and June 17, 2009: Albacete 32-AB-4420, Soria 32-SO-2940, Cantabria 32-S-5580, Ávila 32-AV-2970, Alicante 32-A 4240, Murcia 32-MU-5630, and Valencia 32-V-5870 (hereinafter 2009 tenders). Finally, the tender corresponding to the work of Burgos 4-1-BU-29 awarded on July 29, 2009, by Provilsa (Provilsa tender).  </w:t>
        <w:br/>
        <w:t xml:space="preserve">Regarding the effects, it indicates that in at least eight of the fourteen competitions analyzed in this file, according to what is stated in HP 8, the illicit conduct pursued here has caused harm to the public treasury, to public accounts, and ultimately to taxpayers amounting to 14,185,735.06 euros due to the difference between the reduction that would have been presented under competitive conditions (around an average of 30% on the maximum tender budget) and the one finally presented after that "prior auction" (which was reduced on average to 3% of the tender budget).  </w:t>
        <w:br/>
        <w:t xml:space="preserve">SECOND: In order to substantiate the appeal, the following allegations are made:  </w:t>
        <w:br/>
        <w:t xml:space="preserve">1. There is insufficient evidence in the administrative file to prove that Misturas was part of the collusive mechanism and the consequent distribution of illicit profit corresponding to 12 of the 14 tenders.  </w:t>
        <w:br/>
        <w:t xml:space="preserve">2. Regarding the quantification of the sanction, it indicates that the communication on the calculation of sanctions does not allow imposing a sanction on Misturas exceeding 20% of the turnover obtained in the affected market, the exclusive consideration of the number of tenders as a modulating criterion for the sanction constitutes a violation of the principle of proportionality, and the CNC has not assessed the contributory incapacity of Misturas in the calculation of the sanction.  </w:t>
        <w:br/>
        <w:t xml:space="preserve">THIRD: The appellant considers that there is insufficient evidence in the administrative file to prove that Misturas was part of the collusive mechanism and the consequent distribution of illicit profit corresponding to 12 of the 14 tenders. As stated in the judgment of the General Court of the European Union of March 3, 2011, Case Siemens/Commission, case T-110/07, regarding the burden of proof:  </w:t>
        <w:br/>
        <w:t>45...."In view of the nature of the infringements contemplated, as well as the nature and degree of severity of the corresponding sanctions, the principle of the presumption of innocence applies to proceedings relating to violations of the competition rules applicable to companies that may lead to the imposition of fines or coercive fines (see in this sense the judgments of the Court of Justice of July 8, 1999 [CJEU 1999, 153], Hüls/Commission, C-199/92 P, Rec. p. I-4287, paragraphs 149 and 150, and Montecatini/Commission, C-235/92 P, Rec. p. I-4539,</w:t>
      </w:r>
    </w:p>
    <w:p>
      <w:r>
        <w:rPr>
          <w:b/>
        </w:rPr>
        <w:t>[Pages 4–6]</w:t>
      </w:r>
    </w:p>
    <w:p>
      <w:r>
        <w:t>of the UTE BECSA RAFAEL MORALES."</w:t>
      </w:r>
    </w:p>
    <w:p>
      <w:r>
        <w:t>46 Thus, it is necessary for the Commission to present precise and consistent evidence to demonstrate the existence of the infringement (Dresdner Bank and others/Commission judgment, paragraph 44 above, paragraph 62), and to establish a firm conviction that the alleged infringements constitute significant restrictions of competition for the purposes of Article 81 EC, paragraph 1 (judgment of January 21, 1999, Riviera Auto Service and others/Commission, T-185/96, T-189/96, and T-190/96, Rec. p. II-93, paragraph 47).</w:t>
      </w:r>
    </w:p>
    <w:p>
      <w:r>
        <w:t>47 However, it should be noted that not all the evidence provided by the Commission must necessarily meet these criteria regarding each element of the infringement. It is sufficient that the series of indications invoked by the institution, assessed globally, meets this requirement (see the judgment Dresdner Bank and others/Commission, paragraph 44 above, paragraph 63, and the cited case law).</w:t>
      </w:r>
    </w:p>
    <w:p>
      <w:r>
        <w:t>48 Furthermore, given the notorious nature of the prohibition of agreements contrary to free competition and the clandestinity in which they are executed, the Commission cannot be required to provide documents that explicitly justify a contact between the affected operators. In any case, the fragmentary and confusing elements that the Commission may have should be able to be completed through deductions that allow the reconstruction of the relevant circumstances. Therefore, the existence of a practice or agreement contrary to competition can be inferred from certain coincidences and indications that, considered as a whole, may constitute, in the absence of another coherent explanation, proof of an infringement of the competition rules (Dresdner Bank and others/Commission judgment, paragraph 44 above, paragraphs 64 and 65, and the Court of Justice judgment of January 7, 2004 [TJCE 2004, 8], Aalborg Portland and others/Commission, C-204/00 P, C-205/00 P, C-211/00 P, C-213/00 P, C-217/00 P, and C-219/00 P, Rec. p. I-123, paragraphs 55 to 57)."</w:t>
      </w:r>
    </w:p>
    <w:p>
      <w:r>
        <w:t>Indeed, as the appellant points out in the application, the documentation gathered to prove the existence of the infringement is incomplete, but this does not determine per se that the commission of the same is not considered proven, since the contested resolution is based on fragmentary evidence that it links with a set of indications, corresponding to examine whether those indications, assessed globally, constitute, in the opinion of this Chamber, proof of an infringement of the competition rules.</w:t>
      </w:r>
    </w:p>
    <w:p>
      <w:r>
        <w:t>The appellant argues regarding the four tenders for the rehabilitation and reinforcement of pavements convened and awarded in 2008 that there is no evidentiary element that proves the existence of collusion. It indicates that the resolution has not proven the existence of payments to Misturas by the companies awarded the tenders and the document "ingresos y pagos 1.xls" (folio 1984, volume IX in PDF format) is the only indication provided by the CNC that does not allow for the undeniable proof of its participation, as it contains only figures whose associated concept is not identifiable, names of provinces and roads, and some references to active companies in the sector. It adds that the figures referred to in that document correspond to production and subcontracting forecasts and not, as the CNC claims, to payments for compensation for the reductions offered in those 2008 tenders.</w:t>
      </w:r>
    </w:p>
    <w:p>
      <w:r>
        <w:t>Examining that document, it indeed contains figures, names of provinces, and companies in the sector, but the element that relates them and that the appellant omits to indicate in the application is the title of the document itself "ingresos y pagos de subastas restringidas." On the other hand, the names of the roads and provinces mentioned refer to roads whose rehabilitation of pavements was the object of the tender convened by the Ministry of Development. Asturias 32-0-5460, Pontevedra 32-PO-3270, León 32-LE-400, and Cáceres 32-CC-1390. Likewise, the companies in the sector that are cited are the awardees of each of the tenders and appear in the second column of the same line as the name of the road subject to the tender, indicating a figure afterwards. The alternative explanation offered by the appellant does not convince this Chamber, as although it is true that in some cases the subcontracting of rehabilitation works requires subcontracting with other companies, it is not established that in this specific case the awarded companies have subcontracted other companies that participated in the tender, such as Misturas, since no document is provided to prove this. Additionally, there are the testimonies of the sanctioned companies. For example, PAS, which participated in 2 of these tenders (Asturias and Cáceres), being awarded in Asturias, expressed its agreement with the account of the facts, obtaining a 15% reduction of the sanction.</w:t>
      </w:r>
    </w:p>
    <w:p>
      <w:r>
        <w:t>Regarding the tenders of 2009, whose collusion would have taken place in a meeting held on December 16, 2008. The resolution of the CNC is based on two documents: 1) on one hand, the handwritten notes of Padecasa (folios 1108 to 1112). On folio 1111, there are handwritten columns in the first column indicating "invitación restringidas" with the names of the companies, followed by the name of the representative and phone number, and then the "bajas" divided into 7 columns corresponding to each of the provinces, collecting the percentage for each company; and 2) the Excel files found at the headquarters of Misturas. On one hand, the document titled "ingresos y pagos de subastas restringidas" (folios 1984) and the Excel sheets prepared for each tender in which data is recorded to indicate the total amount of the tender and two types of reductions, one identified as the reduction and the other as the reduction to be offered and the percentage to be distributed.</w:t>
      </w:r>
    </w:p>
    <w:p>
      <w:r>
        <w:t>Certainly, the Padecasa document does not refer to the place, date, and authorship of the document, but the CNC connects that data with other existing in the file to conclude that the columns referring to the reductions correspond to the reductions expressed in percentage terms with respect to the initial budget of the awarded entity that would have been offered by the invited companies to the corresponding tenders had they not colluded, highlighting the coincidence of information from the Padecasa document and the Excel files found in Misturas. In this sense, the following folio 1112, which also refers to handwritten notes from Padecasa, records the complete coordination system regarding the distribution agreement of the Soria tender, which was awarded to Gevora. Thus, on folio 1111, it is recorded that Gevora's reduction would be 18.81% and on folio 112, a lower reduction of 3.95%, which implies a difference of 14.83%, resulting in a distributable amount of 1,360,268.87 euros, all data collected in folio 1112, also recording the amounts to be distributed among the different participants in the tender. Those payments to be made by Gevora to Misturas for the amount of 64,671.48 euros also appear in the Excel file of Misturas to which we have already referred. Gevora acknowledged the existence of the agreements attributed to it.</w:t>
      </w:r>
    </w:p>
    <w:p>
      <w:r>
        <w:t xml:space="preserve">The appellant points out that if the number of analyzed tenders is multiplied by the number of non-awarded companies for each of them, there should be more than 140 payments related to the 2009 tenders, and the fact is that the CNC has only proven isolated payments between some of them that could have been due to the provision of any type of services. Certainly, only isolated payments have been proven, but there is other evidence that supports this collusive practice. It should be noted that some of the participating companies have acknowledged the existence of the aforementioned mechanism. Thus, BECSA acknowledges attending the meeting and that they received compensations based on the established collusion mechanism and provides the invoice for the payment they received. HERGONSA has presented invoices whose amounts match those mentioned by the Directorate of Investigation. On the other hand, although it is not established that the payments have actually been made, accounting entries related to the payments to be made by Misturas to the other participating companies in the tender or, where applicable, the compensations to be made have been found in the accounting of Misturas and are detailed in the contested resolution regarding each tender. </w:t>
        <w:br/>
        <w:t>1. Cantabria 32-S-5580: "Eleven of these fifteen payments to be made by MISTURAS have been found in the accounting of this company in its customer and supplier account statements (folios 2,230 to 2,251)."</w:t>
        <w:br/>
        <w:t>2. Soria 32-SO 2940: "The payments to be received by MISTURAS for the amount of 154,516.20 euros (cell H18, folio 1,984) and EXTRACO for the amount of 153,966.32 euros (cell I16, folio 1,984) from GEVORA have been found in the accounting of MISTURAS in the account statement for the customer GEVORA CONSTRUCCIONES S.A. (folio 2,233)."</w:t>
        <w:br/>
        <w:t>3. Ávila 32-AV-2970: "The payments to be received by MISTURAS for the amount of 154,516.20 euros (cell H18, folio 1,984) and EXTRACO for the amount of 153,966.32 euros (cell I16, folio 1,984) from GEVORA have been found in the accounting of MISTURAS in the account statement for the customer GEVORA CONSTRUCCIONES S.A. (folio 2,233)."</w:t>
        <w:br/>
        <w:t>4. Alicante 32-A-4240: "These payments to be received by MISTURAS and EXTRACO for the amount of 215,879.12 euros (cell I10, folio 1,984) and 214,902.29 euros (cell I8, folio 1,984) from PAVASAL have been found in the accounting of each company (folios 2,231 and 2,576) in the respective account statements for the customer PAVASAL EMPRESA CONSTRUCTORA S.A."</w:t>
        <w:br/>
        <w:t>5. Valencia 32-V-5870: "From the spreadsheet "Ingresos y Pagos 1.xls" of MISTURAS (folio 1,984), it is obtained that, for this tender, the payments to be received by EXTRACO and MISTURAS from PAVASAL for modifying their economic offer would be 130,347.04 euros (cell H8, folio 1,984) and 131,283.24 euros (cell H10, folio 1,984), respectively. These payments have been found in the accounting of each company (folios 2,231 and 2,576) in their respective account statements for the customer PAVASAL EMPRESA CONSTRUCTORA S.A."</w:t>
        <w:br/>
        <w:t>6. Murcia 32-MU-5630: "From the spreadsheet "Ingresos y Pagos 1.xls" of MISTURAS (folio 1,984), it is obtained that, for this tender, the payments to be received by MISTURAS and EXTRACO for modifying their economic offer would be 139,086.13 euros (cell H6, folio 1,984) and 137,676.47 euros (cell H4, folio 1,984), respectively. These payments to be received by MISTURAS and EXTRACO from PADELSA have been found in the accounting of MISTURAS (folio 2,230) in the account statement for the customer PADELSA INFRAESTRUCTURAS, SA."</w:t>
        <w:br/>
        <w:t>7. Albacete 32-AB-4420: "From the spreadsheet "Ingresos y Pagos 1.xls" of MISTURAS (folio 1,984), it is obtained that, for this tender, the payments to be received by MISTURAS and EXTRACO for modifying their economic offer would be 18,887.84 euros (cell H14, folio 1,984) and 18,614.11 euros (cell H12, folio 1,984), respectively. These payments to be received by MISTURAS and EXTRACO from the UTE BECSA RAFAEL MORALES have been found in the accounting of EXTRACO (folio 2,580) in the account statement.</w:t>
      </w:r>
    </w:p>
    <w:p>
      <w:r>
        <w:rPr>
          <w:b/>
        </w:rPr>
        <w:t>[Pages 7–9]</w:t>
      </w:r>
    </w:p>
    <w:p>
      <w:r>
        <w:t>by the supplier BECSA SAU."</w:t>
        <w:br/>
        <w:t>The appellant argues that given an alternative explanation regarding the prices of the reductions analyzed in the resolution, the existence of an infringement of Article 1 LDC cannot be deduced due to the incorrect application of the presumption test. Reference is made to the Supreme Court judgment of October 5, 2009 (cassation appeal 315/2008) which held that neither the Competition Defense Tribunal nor the National Court (sixth section judgment of May 23, 2007) had adequately assessed the alternative explanation that justified the actions of the parties in the context of public tenders called for the acquisition of radiopharmaceuticals. In that case, the alleged collective agreement between companies in the sector for the indirect fixing of the prices of radiopharmaceuticals was determined by the fact that these companies would have made bids above the tender prices, stating that the Supreme Court noted that there was another alternative explanation for that coincidence which allows the conduct to be classified as a collusive agreement.</w:t>
      </w:r>
    </w:p>
    <w:p>
      <w:r>
        <w:t>There is an essential difference between both procedures, which is that in the "radioactive materials" case there was no documentary evidence, but the existence of the infringement was deduced solely based on the market behavior of the involved companies, unlike what happens here where there are partial documentary traces of the agreement that, when analyzed as a whole, constitute sufficient circumstantial evidence that proves the existence of collusive conduct.</w:t>
      </w:r>
    </w:p>
    <w:p>
      <w:r>
        <w:t>As noted in the judgment of the General Court of the European Union of March 3, 2011, TJCE 2011/40 Case Siemens/Commission, case T-110/07, "(49) However, when the Commission asserts the existence of an infringement based solely on the market behavior of the involved companies, it is sufficient for them to demonstrate the existence of circumstances that present the facts considered proven by the Commission from a different perspective, thus allowing another plausible explanation of the facts to replace the explanation defended by the Commission to assert the existence of an infringement of the rules on community competition."</w:t>
      </w:r>
    </w:p>
    <w:p>
      <w:r>
        <w:t>On the other hand, the contested resolution analyzes and rejects the alternative explanation offered by some of the companies that participated in the collusive agreement. The appellant refers to the economic rationality of the bids submitted and that the reductions offered by the companies in each of the analyzed tenders were exclusively the result of the corresponding cost analysis and refers to the data and graphs on the rise in the price of bitumen, fuel, and energy for the period 2008-2009 and the reduction of the maximum budgets established by the convening authorities. The CNC (legal basis four; folio 92 of the contested resolution) rejects that alternative explanation by comparing the reductions offered in other tenders where there is no record of collusion and specifically with the tenders subject to open procedure based on the examination of the data submitted by the Ministry of Development regarding the 141 tenders for the conservation, improvement, and rehabilitation of pavements and platforms (roads, highways) that have been convened by that Department during the years 2007 to 2009, of which 53 have been held through the restricted procedure or prior invitation. From this analysis, it appears that there are no significant differences regarding the type of work or the profile of the participants in the sense that the companies participating in the restricted tenders also participate in the open ones. However, it is observed that the reductions offered are much higher in the case of the open tenders (against an average reduction of 18.23% for open auctions, the restricted ones present a reduction of 6.02%) and the same companies offer very different reductions in similar auctions depending on whether they have been held in an open or restricted procedure. Furthermore, it refers to the existence of documents that allow rejecting that alternative explanation, pointing out how it is possible that the amount of the reductions in the open procedure is so similar to the amount that appears in the Excel files found during inspections and that, according to the thesis of the Investigation Directorate, endorsed by several companies, were initially offered before colluding. The appellant also does not explain the fact that the Excel sheets found in their files and prepared for each tender record two types of reductions as data to be entered and expressly indicate "percentage to be distributed," not providing a convincing explanation regarding those documents.</w:t>
      </w:r>
    </w:p>
    <w:p>
      <w:r>
        <w:t>Regarding the lack of legal relevance of the acknowledgment of certain facts by some of the accused companies, the appellant argues that according to community jurisprudence, the acknowledgment of the facts by some of the accused parties in the context of a sanctioning procedure for competition defense only has effects concerning the party that admits the facts and lacks significance regarding the other parties. To this effect, it reproduces paragraphs 83 and 84 of the judgment of the General Court of October 8, 2008, in the Schunk/Commission case. That judgment in those paragraphs merely indicates that "since there is no express acknowledgment by the accused company, the Commission is obliged to prove the facts," and conversely, if there were an express acknowledgment, it would not have to prove the facts but does not analyze the impact on other cartel participants of the acknowledgment of the facts by another participant. On this point, the judgment of July 27, 2012, of the General Court of the European Union (Third Chamber) in case T-439/07 states:</w:t>
      </w:r>
    </w:p>
    <w:p>
      <w:r>
        <w:t>"47 It is understandable to harbor some distrust regarding the voluntary statements of the main participants in an illegal cartel, given the possibility that such participants tend to minimize the importance of their contribution to the infringement and maximize that of others. However, considering the inherent logic of the procedure provided by the Communications on cooperation of 1996 or 2002, the fact of requesting the application of this to obtain a reduction of the fine does not necessarily create an incentive to present distorted evidence regarding the other participants in the investigated cartel. Indeed, any attempt to mislead the Commission could call into question the sincerity and completeness of the cooperation of the applicant and, therefore, jeopardize the possibility of benefiting fully from such Communications (see, in this sense, the judgments of the Court of November 16, 2006, Peróxidos Orgánicos/Commission, T-120/04, Rec. p. II-4441, paragraph 70, and of July 8, 2008, Lafarge/Commission, T-54/03, not published in the Recopilation, paragraph 58).</w:t>
      </w:r>
    </w:p>
    <w:p>
      <w:r>
        <w:t>48. In particular, it should be considered that the fact that a person confesses to having committed an infringement and thus acknowledges the existence of facts that exceed what could be directly deduced from those documents implies a priori, unless special circumstances indicate otherwise, that such a person has resolved to tell the truth. Indeed, statements contrary to the interests of the declarant must be considered, in principle, particularly reliable evidence (judgments of the Court JFE Engineering and others/Commission cited in paragraph 39 above, paragraphs 211 and 212; of April 26, 2007, Bolloré and others/Commission, T-109/02, T-118/02, T-122/02, T-125/02, T-126/02, T-128/02, T-129/02, T-132/02, and T-136/02, Rec. p. II-947, paragraph 166, and Lafarge/Commission, cited in paragraph 47 above, paragraph 59).</w:t>
      </w:r>
    </w:p>
    <w:p>
      <w:r>
        <w:t>49 However, statements made by companies involved in the context of requests to benefit from the Communications on cooperation of 1996 or 2002 must be assessed with caution and, in general, cannot be considered particularly reliable evidence unless corroborated by other elements.</w:t>
      </w:r>
    </w:p>
    <w:p>
      <w:r>
        <w:t>50 Indeed, according to established jurisprudence, the statement of a company accused of having participated in a collusive practice, the accuracy of which is denied by several of the other accused companies, cannot be considered sufficient evidence of the existence of an infringement committed by these latter companies unless supported by other evidence (judgments of the Court of October 25, 2005, Groupe Danone/Commission, T-38/02, Rec. p. II-4407, paragraph 285; Bolloré and others/Commission, cited in paragraph 48 above, paragraph 167, and Lafarge/Commission, cited in paragraph 47 above, paragraph 293)."</w:t>
      </w:r>
    </w:p>
    <w:p>
      <w:r>
        <w:t>Therefore, the evidentiary value of statements consisting of the acknowledgment of facts by other cartel participants is not limited to the parties that have acknowledged the facts but can serve as evidence to prove the participation of other companies, and such evidence must be assessed with caution and, in general, cannot be considered particularly reliable evidence unless corroborated by other elements. In this case, the companies that have acknowledged the facts have not limited themselves to recognizing their participation, confirming the operation of the cartel, but have provided documents that confirm the cartel's operation, such as those from BECSA and HERGONSA, which provide invoices whose amounts match those mentioned by the Investigation Directorate in the PCH, with additional documentary evidence found in the home inspections confirming the veracity of those statements (Padecasa document and Mixturas documents). Evidence that the statements of those companies have not been the decisive proof that allows establishing the existence of the cartel is that they have only been granted a mitigating factor of 15% given the degree of cooperation shown, with the CNC referring to other indications that, from their joint assessment, allow considering the commission of the infringement to be proven.</w:t>
      </w:r>
    </w:p>
    <w:p>
      <w:r>
        <w:t>The appellant in the complaint dissects the evidence provided by the Administration, and it is evident that the same, when individually considered, does not allow proving the existence of an infringement, but when assessed globally, they constitute, in the absence of another coherent explanation, evidence of an infringement of the competition rules. As noted in the judgment of the General Court of the European Union of March 3, 2011, Case Siemens/Commission, case T-110/07, "53 according to jurisprudence, given the notorious nature of the prohibition of agreements contrary to free competition and the clandestinity in which they are executed, the proof of a cartel can arise from a set of consistent indications (see the previous paragraph 48). Consequently, Siemens cannot claim that such evidence should be dismissed by arguing that, considered in isolation, the specific indications invoked by the Commission are not sufficient to demonstrate the behaviors attributed to it. Indeed, by definition, the specific components that are part of that consistent set of indications presented by the Commission, considered in isolation, cannot constitute complete evidence of that behavior."</w:t>
      </w:r>
    </w:p>
    <w:p>
      <w:r>
        <w:t>FOURTH: Regarding the amount of the fine. In this case, the resolution has imposed a sanction on Misturas equivalent to 27% of the turnover obtained in the sector of tenders for the conservation, improvement, and rehabilitation of pavements and platforms.</w:t>
      </w:r>
    </w:p>
    <w:p>
      <w:r>
        <w:rPr>
          <w:b/>
        </w:rPr>
        <w:t>[Pages 10–12]</w:t>
      </w:r>
    </w:p>
    <w:p>
      <w:r>
        <w:t>company. 2) The financial situation of a company may vary significantly, and it is not appropriate to allow such variations to influence the imposition of sanctions, as this could lead to unequal treatment among companies. 3) The principle of proportionality must be respected, but it should be based on objective criteria rather than subjective assessments of a company's financial health. 4) The economic crisis cannot serve as a blanket excuse for anticompetitive behavior, as it is essential to maintain market integrity and protect competition.</w:t>
      </w:r>
    </w:p>
    <w:p>
      <w:r>
        <w:t>In conclusion, the resolution must be adjusted to reflect that the basic amount of the sanction cannot exceed 20% of the turnover obtained in the affected market, and the sanction should be reduced by 7% accordingly. The exclusive consideration of the number of tenders as a modulatory criterion for the sanction violates the principle of proportionality, and the financial situation of the company should not unduly influence the sanction amount beyond what is already implied by the affected turnover.</w:t>
      </w:r>
    </w:p>
    <w:p>
      <w:r>
        <w:rPr>
          <w:b/>
        </w:rPr>
        <w:t>[Pages 13–15]</w:t>
      </w:r>
    </w:p>
    <w:p>
      <w:r>
        <w:t>affected sales and this for the following reasons:</w:t>
        <w:br/>
        <w:t>1) One thing is that the crisis situation of the economy in general and particularly of the sector does not protect the conduct and does not justify it, and another very different thing is that this crisis situation can be taken into account to assess the contributory capacity of a</w:t>
      </w:r>
    </w:p>
    <w:p>
      <w:r>
        <w:t>company at the time the fine is set, being necessary to specify that the sanctions are calculated based on the turnover obtained by the companies during the period of the infringement and the allegation of contributory incapacity to be taken into account by the administrative body refers to the difficulty of facing a hypothetical sanction logically at a time close to the date on which it is going to be imposed, which does not coincide temporally with the period of commission of the infringement. In this sense, the Communication on the quantification of sanctions establishes in section nine that the basic amount of the infringement is a proportion of the turnover affected by the infringement, the turnover affected by the infringement being "the weighted sum of the sales obtained by the infringer in the product or service and geographical markets where the infringement has produced or is likely to produce effects, during the time that the infringement has taken place," while the limit provided in Article 63.1 c) LDC 15/2007 is based on the total turnover of the infringing company in the fiscal year immediately prior to the imposition of the fine.</w:t>
        <w:br/>
        <w:t>2) The limit provided in Article 63.1 c) of Law 15/2007 of 10% of the total turnover of the infringing company in the fiscal year immediately prior to the imposition of the fine has been established to prevent a sanction from jeopardizing the viability of the company, but this does not imply that even if that limit is not exceeded, it can be considered, taking into account the particularities of each case, that the fine may have a relatively high impact on the economic situation of a company given its characteristics that determine its reduction (such as low margins on sales, high concentration of its production in the market affected by the infringement, not belonging to a business group, and the harmful effect that the disappearance of the company would have on competition) and this has been applied by the European Commission even when the risk of the company being declared bankrupt was not high and that even such eventuality would not imply the total loss of the value of the assets of this company. For this, it has relied on Article 37 of the Guidelines for the calculation of fines imposed under Article 23, section 2, letter a), of Regulation (EC) No 1/2003, which establishes the possibility for the Commission to depart from the methodology for setting fines established in those Guidelines in order to take into account the particularities of a specific case. (similar to section four of the CNC Communication on the quantification of fines). This is analyzed in paragraphs 130 and following of the judgment of the General Court of the European Union of December 13, 2012 (case Novacke chemicke/ European Commission, T-352/09) in which the reduction of the fine by 20% applied by the Commission to a company was considered lawful in a case where, even though the fine did not exceed the limit of 10% of the total turnover of the company in the fiscal year prior to the imposition of the sanction, it could have a relatively high impact on its economic situation given, among other things, its particular characteristics: independent trader of very small size, not belonging to any group of companies, that the profit margin was small and that 50% of its total turnover was generated with the products affected by the infringement.</w:t>
        <w:br/>
        <w:t>The appellant argues that in this case the requirements for applying Article 35 of the Guidelines for the calculation of fines imposed under Article 23, section 2, letter a), of Regulation (EC) No 1/2003 are met, indicating that he referred to his difficult financial situation in the written allegations to the proposal for resolution in order to highlight his inability to face a high sanction, to which he attached an expert report dated December 28, 2010, in order to prove his contributory incapacity (pages 8742 to 8761 broken down from the file due to their confidential nature) in which it concludes: "any administrative sanction that must be paid in the fiscal years 2011, 2012, and 2013 of significant amount, would pose, due to the economic situation reflected in this study, a serious danger to the economic viability of the company, potentially leading it to bankruptcy due to its inability to meet payment commitments."</w:t>
        <w:br/>
        <w:t>Article 35 of the Guidelines for the calculation of fines imposed under Article 23, section 2, letter a), of Regulation (EC) No 1/2003 establishes that "In exceptional circumstances, the Commission may, upon request, take into account the contributory incapacity of a company in a particular economic and social context. The Commission will not grant any reduction of the fine on this basis merely for the finding of an unfavorable or deficit financial situation. The reduction may only be granted on the basis of objective evidence that the imposition of a fine, under the conditions set by these Guidelines, would irreparably endanger the economic viability of the company in question and would lead to depriving its assets of all value."</w:t>
        <w:br/>
        <w:t>In Spanish law, unlike community law, there is no similar provision, but this does not prevent this Chamber from judging that the CNC is empowered to reduce a fine if there is objective evidence that the imposition of a fine would irreparably endanger the economic viability of the company in question and would lead to depriving its assets of all value. In this sense, Article 64 LDC 2007, although it does not expressly establish the contributory incapacity of the company as a mitigating circumstance, does not contain a closed list of circumstances to be considered. On the other hand, section four of the communication on the quantification of sanctions establishes in section four the power of the CNC to apply other criteria for the quantification of fines in a reasoned manner, so it is not prohibited for the CNC to make reductions in fines taking into account the particular circumstances of each case and this is in accordance with the principle of proportionality that must generally be applied in the imposition of fines.</w:t>
        <w:br/>
        <w:t>However, the reduction of fines due to the deficit financial situation of a company constitutes a power and not an obligation of the Commission. As noted in the judgment of the General Court of the European Union of December 13, 2012 (case Novacke chemicke/ European Commission, T-352/09) "(238) it should be recalled that the repeated case law cited in paragraph 186 above, according to which the Commission is not obliged to take into account the deficit financial situation of a company when determining the amount of the fine, does not mean that it cannot do so (judgment Carbone-Lorraine/Commission, [CJEU 2008, 222] cited in paragraph 58 above, paragraph 314). Indeed, the need to observe the principle of proportionality may oppose the imposition of a fine that goes beyond what constitutes an appropriate sanction for the declared infringement and that could jeopardize the very existence of the affected company. This is even truer given that the disappearance of a company from the contested market will necessarily have a harmful effect on competition."</w:t>
        <w:br/>
        <w:t>Section 35 has been applied by the Commission in a very exceptional manner and after a careful review of the established conditions (analysis of financial statements from recent years, forecasts for the current and future fiscal years, coefficients measuring financial solidity, profitability, solvency, liquidity, relationships with shareholders and external partners). Commission Decision of November 11, 2009, case COMP/38589, thermo-stabilizers, of July 20, 2010, case COMP/38866, phosphates for feed, of June 23, 2010, case COMP/39092, bathroom &amp; mixtures of June 30, 2010, case prestressed steel COMP/38344.</w:t>
        <w:br/>
        <w:t>Its application, in addition to the request of the interested party, requires the concurrence of the following requirements: 1) existence of a particular economic and social context constituted by the consequences that the payment of the fine could have, in particular, regarding an increase in unemployment or a deterioration of the economic sectors to which the affected company sells; 2) the payment of the fine jeopardizes the economic viability of the company. Therefore, it is necessary that there is a causal relationship between the payment of the fine and its impact on the viability of the company, that is, that the adverse effects will be caused by the payment of the fine and not by other factors; 3) it leads to the loss of value of assets, the existence of a situation of bankruptcy or insolvency being insufficient if it does not translate into a loss of value of the assets. The burden of proof lies with the interested party.</w:t>
        <w:br/>
        <w:t>Regarding the scope of section 35, the General Court of the European Union has ruled in a judgment of December 13, 2012 (case Novacke chemicke/ European Commission, T-352/09) in which it states</w:t>
        <w:br/>
        <w:t>"(185) Before analyzing the allegations made by the plaintiff in support of its second plea, it is appropriate to analyze the purpose and interpretation of section 35 of the Guidelines.</w:t>
        <w:br/>
        <w:t>(186) According to repeated case law, in principle, the Commission was not obliged to take into account the deficit financial situation of a company when determining the amount of the fine, since recognizing such an obligation would equate to providing an unjustified competitive advantage to companies less adapted to market conditions (judgments Dansk Rørindustri and others/Commission, cited in paragraph 47 above, paragraph 327; judgments of the Court of March 19, 2003, CMA CGM and others/Commission, T-213/00, Rec. p. II-913, paragraph 351, and Tokai Carbon and others/Commission, cited in paragraph 43 above, paragraph 370).</w:t>
        <w:br/>
        <w:t>(187) On the other hand, according to repeated case law, Union law, as such, does not prohibit a measure adopted by a Union authority from causing the bankruptcy or liquidation of a particular company. The liquidation of a company in its legal form in question, although it may harm the financial interests of the owners, shareholders, or stockholders, does not mean, however, that the personal, material, and immaterial elements represented by the companies also lose their value (judgments of the Court Tokai Carbon and others/Commission, cited in paragraph 43 above, paragraph 372; of November 29, 2005, Heubach/Commission, T-64/02, Rec. p. II-5137, paragraph 163, and of April 28, 2010, BST/Commission, T-452/05, Rec. p. II-1373, paragraph 96)"</w:t>
        <w:br/>
        <w:t>(189) It follows that the mere fact that the imposition of a fine for violating competition rules may provoke the bankruptcy situation of the company in question is not sufficient for the application of section 35 of the Guidelines (LCEur 2003, 1). Indeed, from the case law cited in paragraph 187 above, it follows that, while the bankruptcy of a company harms the financial interests of the affected owners or shareholders, this does not necessarily mean the disappearance of the company in question. It may continue to exist as such, either in the case of recapitalization of the company declared in bankruptcy, as a legal entity that guarantees the operation of said</w:t>
      </w:r>
    </w:p>
    <w:p>
      <w:r>
        <w:rPr>
          <w:b/>
        </w:rPr>
        <w:t>[Pages 16–17]</w:t>
      </w:r>
    </w:p>
    <w:p>
      <w:r>
        <w:t>company, or, in the case of a global acquisition of its assets, and consequently, of the company as an entity engaged in economic activity, by another entity. Such a global acquisition may occur either through a voluntary purchase or through a forced sale of the assets of the bankrupt company while maintaining the operation."</w:t>
      </w:r>
    </w:p>
    <w:p>
      <w:r>
        <w:t>In this case, Misturas referred to its difficult financial situation in the written allegations to the proposed resolution in order to highlight its inability to face a high penalty, to which it attached an expert report dated December 28, 2010, but the appellant has not proven that there is an impossibility of renegotiating the bank debt, of receiving capital contributions from other companies or shareholders, or even of transferring the assets to a third party to continue the business activity, requirements demanded by community jurisprudence to apply a reduction of the fine in accordance with Article 35 of the Guidelines, as established by the judgment of the General Court of the European Union on December 13, 2012 (case Novacke chemicke/ European Commission, T-352/09), stating that it is not enough to demonstrate that the affected company will be declared bankrupt if the fine is imposed, but there must be objective evidence that the imposition of a fine would irreparably jeopardize the economic viability of the company in question and would lead to depriving its assets of all value, which does not automatically occur in the case of bankruptcy of the company operating the business in question.</w:t>
      </w:r>
    </w:p>
    <w:p>
      <w:r>
        <w:t>FIFTH: According to the reasoning provided, it is appropriate to partially uphold the contentious-administrative appeal since the contested resolution is annulled in the part that agrees to impose a fine of 1,601,900 euros on MISTURAS OBRAS E PROXECTOS SA, which must be reduced by 7%.</w:t>
      </w:r>
    </w:p>
    <w:p>
      <w:r>
        <w:t>Having partially upheld the appeal and no recklessness or bad faith being appreciated, each party shall bear the costs incurred at its request and the common costs shall be shared equally in accordance with the provisions of Article 139 of Law 29/1998 regulating contentious-administrative jurisdiction as amended by Law 37/2011 of October 10.</w:t>
      </w:r>
    </w:p>
    <w:p>
      <w:r>
        <w:t>RULING</w:t>
      </w:r>
    </w:p>
    <w:p>
      <w:r>
        <w:t>In light of the above, the Administrative Litigation Chamber of the National Court has decided:</w:t>
      </w:r>
    </w:p>
    <w:p>
      <w:r>
        <w:t>TO PARTIALLY UPHOLD the contentious-administrative appeal filed by the legal representation of MISTURAS OBRAS E PROXECTOS SA against the resolution of the National Competition Commission (CNC) dated December 19, 2011, file S/00226/10 road tenders, and consequently, the contested resolution is annulled in the part that agrees to impose a fine of 1,601,900 euros on MISTURAS OBRAS E PROXECTOS SA, which must be reduced by 7%.</w:t>
      </w:r>
    </w:p>
    <w:p>
      <w:r>
        <w:t>Each party shall bear the costs incurred at its request and the common costs shall be shared equally.</w:t>
      </w:r>
    </w:p>
    <w:p>
      <w:r>
        <w:t>Thus, by this our Judgment, a testimony of which will be sent along with the administrative file to the originating Office for execution, we pronounce, order, and sign.</w:t>
      </w:r>
    </w:p>
    <w:p>
      <w:r>
        <w:t>PUBLICATION.- The previous judgment was read and published in the usual manner by the Honorable Madam Reporting Magistrate,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