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https://www.cnmc.es/expedientes/s022810</w:t>
      </w:r>
    </w:p>
    <w:p>
      <w:r>
        <w:t>Pages translated : 11</w:t>
      </w:r>
    </w:p>
    <w:p/>
    <w:p>
      <w:r>
        <w:rPr>
          <w:b/>
        </w:rPr>
        <w:t>[Pages 1–3]</w:t>
      </w:r>
    </w:p>
    <w:p>
      <w:r>
        <w:t xml:space="preserve">RESOLUTION  </w:t>
        <w:br/>
        <w:t xml:space="preserve">Expte. S/0228/10, Novartis  </w:t>
        <w:br/>
        <w:t xml:space="preserve">Council  </w:t>
        <w:br/>
        <w:t xml:space="preserve">Ms. Pilar Sánchez Núñez, Vice President  </w:t>
        <w:br/>
        <w:t xml:space="preserve">Mr. Julio Costas Comesaña, Councilor  </w:t>
        <w:br/>
        <w:t xml:space="preserve">Ms. María Jesús González López, Councilor  </w:t>
        <w:br/>
        <w:t xml:space="preserve">Ms. Inmaculada Gutiérrez Carrizo, Councilor  </w:t>
        <w:br/>
        <w:t>In Madrid, on April 25, 2011</w:t>
      </w:r>
    </w:p>
    <w:p>
      <w:r>
        <w:t>The Council of the National Competition Commission, with the composition expressed and with Mr. Julio Costas Comesaña as the Rapporteur, has issued the following Resolution in the confidential inquiry file S/0228/10, opened by the Directorate of Investigation by virtue of the complaint submitted by ACTAVIS GROUP PTC EHF against NOVARTIS AG and NOVARTIS FARMACÉUTICA, S.A. for a possible infringement of Law 15/2007 of July 3, on the Defense of Competition due to predatory or abusive litigation.</w:t>
      </w:r>
    </w:p>
    <w:p>
      <w:r>
        <w:t xml:space="preserve">FACTUAL BACKGROUND  </w:t>
        <w:br/>
        <w:t>1. On February 15, 2010, a complaint was filed with the National Competition Commission (CNC) by ACTAVIS GROUP PTC EHF (Actavis) for practices prohibited under Law 15/2007 of July 3, on the Defense of Competition (LDC) against NOVARTIS AG and NOVARTIS FARMACÉUTICA, S.A. (Novartis), concerning the active ingredient Valsartan and consisting of engaging in predatory or abusive litigation with the aim of delaying the marketing of generic medicines containing that active ingredient when the patent owned by Novartis expires (folios 1 to 196).</w:t>
      </w:r>
    </w:p>
    <w:p>
      <w:r>
        <w:t>On February 19, 2010, a letter from Actavis was received by the Directorate of Investigation (DI) of the CNC indicating that on February 17, 2010, Novartis withdrew the lawsuit it had filed in the Commercial Court No. 2 of Barcelona, with Actavis accepting the withdrawal on the same day in order to avoid incurring further costs (folios 197 to 203).</w:t>
      </w:r>
    </w:p>
    <w:p>
      <w:r>
        <w:t>On March 26, 2010, the DI requested Actavis to rectify its complaint (folios 204 to 208), and in turn, the complainant was asked to clarify whether it wished to continue with the complaint or, if applicable, withdraw it. The response to this request was received on April 15, 2010 (folios 216 to 236), indicating that the interested party wished to continue with the filed complaint.</w:t>
      </w:r>
    </w:p>
    <w:p>
      <w:r>
        <w:t>2. The Directorate of Investigation (DI) of the CNC, in order to ascertain the reality of the facts as much as possible to determine whether there could be indications of infringement, in accordance with the provisions of Article 49.2 of the LDC, agreed to carry out a confidential inquiry, requesting additional information from the parties.</w:t>
      </w:r>
    </w:p>
    <w:p>
      <w:r>
        <w:t xml:space="preserve">3. The DI provides the following description of the parties:  </w:t>
        <w:br/>
        <w:t>Actavis, the complainant, is an Icelandic company engaged in the manufacture and marketing of generic medicines, with its Spanish subsidiary being Actavis Spain, SA (folio 20). It is one of the leading companies in the development, manufacture, and marketing of generic medicines, oral medicines, injectable oncology medicines for hospitals, over-the-counter medicines, dermopharmacy, and dermatology medicines. Actavis has 830 products on the market, has 333 projects in development, and the capacity to manufacture 24 billion tablets or capsules in its facilities (folios 285 to 289).</w:t>
      </w:r>
    </w:p>
    <w:p>
      <w:r>
        <w:t>Novartis AG and Novartis Farmacéutica SA (Novartis), the defendant, is one of the leading pharmaceutical companies in the world, created in 1996 as a result of the merger of the Swiss companies Sandoz and Ciba. It is present in more than 140 countries, making it one of the world leaders in the creation, manufacture, and marketing of drugs to protect health, cure diseases, and improve quality of life (folio 17).</w:t>
      </w:r>
    </w:p>
    <w:p>
      <w:r>
        <w:t>Within the pharmaceutical area, Novartis focuses its efforts on the following therapeutic areas, among others: cardiovascular and metabolism; oncology and hematology; neuroscience; respiratory; infectious diseases; transplants and immunology; ophthalmology; dermatology; gastrointestinal and urinary; and arthritis and bone diseases (folio 18). Novartis operates in Spain in each and every sector in which it develops its activity globally and in some of them has a notable presence, not only commercially but also industrially, as is the case with the plant it has in Barberá del Vallès that manufactures the Valsartan medication globally (folios 18 and 19). Specifically, Novartis AG holds the patent in Spain that is the subject of the litigation and Novartis Farmacéutica S.A. is the licensee.</w:t>
      </w:r>
    </w:p>
    <w:p>
      <w:r>
        <w:t xml:space="preserve">4. The Directorate of Investigation describes the applicable regulatory framework to the investigated facts and the relevant market as follows:  </w:t>
        <w:br/>
        <w:t>4.1 "The pharmaceutical sector is regulated by Law 29/2006 of July 26, on guarantees and rational use of medicines and health products, amended by Law 28/2009 of December 30.</w:t>
      </w:r>
    </w:p>
    <w:p>
      <w:r>
        <w:t xml:space="preserve">The complainant indicates that the medication Valsartan is an active ingredient that falls within the group Co2E2: Angiotensin II receptor blockers. The medications included in this group are indicated, among others, for the treatment of essential hypertension. These medications are popularly known as "sartans," and this group is composed of the following active ingredients (folios 217 and 218):  </w:t>
        <w:br/>
        <w:t xml:space="preserve">• Valsartan  </w:t>
        <w:br/>
        <w:t xml:space="preserve">• Irbesartan  </w:t>
        <w:br/>
        <w:t xml:space="preserve">• Candesartan  </w:t>
        <w:br/>
        <w:t xml:space="preserve">• Olmesartan  </w:t>
        <w:br/>
        <w:t xml:space="preserve">• Losartan  </w:t>
        <w:br/>
        <w:t>• Telmisartan</w:t>
      </w:r>
    </w:p>
    <w:p>
      <w:r>
        <w:t>4.2. However, in terms of medications, the relevant market for them is determined by the therapeutic field to which they apply, thus following the criterion repeatedly established by the European Commission. Among others, in the Adalat case, it is stated that "for the purposes of this Decision, the market for products is defined by applying the criterion of identical therapeutic use to the various competing products." In this regard, the Commission has been using as a reference the so-called "Anatomical Therapeutic Classification" (CAT, or ATC in its English acronym), recognized and used by the World Health Organization and by the company Intercontinental Medical Statistics (IMS) as a starting point in defining relevant markets." [Decisions of 10-01-96, Case IV/34.279/F3, Adalat and of 30-03-00, Case IV/M.1835, Monsanto/Pharmacia &amp; Upjohn].</w:t>
      </w:r>
    </w:p>
    <w:p>
      <w:r>
        <w:t xml:space="preserve">In Spain, the Anatomical Therapeutic Classification is established by the Ministerial Order of 13-05-85, subsequently modified by another Ministerial Order of 13-10-89, and is structured in four levels with the following characteristics:  </w:t>
        <w:br/>
        <w:t xml:space="preserve">- First level: Anatomical-Therapeutic group. - It is the broadest division, referring to the different anatomical systems and apparatuses.  </w:t>
        <w:br/>
        <w:t xml:space="preserve">- Second level: Therapeutic group. - It includes groups of drugs that have in common their use for a specific pathology or set of similar pathologies, from a general point of view.  </w:t>
        <w:br/>
        <w:t xml:space="preserve">- Third level: Therapeutic subgroup. - It delves into the previous level, delimiting general groups or subgroups.  </w:t>
        <w:br/>
        <w:t>- Fourth level: Chemical-Therapeutic subgroup. - Composed of each of the different chemical families used in a pathological process or group of processes included in the therapeutic subgroup.</w:t>
      </w:r>
    </w:p>
    <w:p>
      <w:r>
        <w:t>As established by the Commission in its Decision of 10-06-91, "the third level of the ATC classification allows grouping medications based on their therapeutic properties, that is, their intended use, and, therefore, can be considered as an operational market definition." However, as the Commission points out in the cited decision and confirms in many subsequent ones, it may be convenient to analyze other levels of the ATC classification, for example, to descend to the aforementioned second level, or to combine certain groups if certain products belonging to different ATC classes are used interchangeably for the treatment of a specific disease. Conversely, a stricter market delimitation can also be established if the medications in question have clearly divergent indications (in general, the fourth level is too specific for the purposes of defining the relevant market, but on occasions it may be useful).</w:t>
      </w:r>
    </w:p>
    <w:p>
      <w:r>
        <w:rPr>
          <w:b/>
        </w:rPr>
        <w:t>[Pages 4–6]</w:t>
      </w:r>
    </w:p>
    <w:p>
      <w:r>
        <w:t>appropriate to establish stricter categories). [Commission Decisions of 10-06-91, Case IV/M.072 Sanofi/Sterling Drug; of 17-07-96, Case IV/M.737 Ciba-Geigy/Sandoz; of 28-09-95, IV/M.631 Upjohn/Pharmacia; and of 28-02-95, IV/M.555 Glaxo/Wellcome].</w:t>
      </w:r>
    </w:p>
    <w:p>
      <w:r>
        <w:t>As the Commission also noted in the aforementioned Ciba-Geigy/Sandoz case, "the interchangeability of products does not depend, in principle, on their technical or chemical physical identity, but on their functional interchangeability from the perspective of those who decide on their consumption, that is, in the case of prescription drugs, the authorized practitioners." In a previous Decision, it was already indicated that, when defining the market, the substitutability between medications may not depend solely on the intrinsic characteristics of the products themselves, but on the intended use, and even "particularly, on the individual conditions of each patient." In line with this, the CNC itself has indicated that “(…) the relevant product market in the case at hand will be constituted by the therapeutic area in which each of the affected specialties can be included, an area that will encompass all those medicines used for the treatment of one or several conditions based on their respective authorized indications and that, consequently, are substitutable among themselves.” [See Commission Decision of 29-04-93, Case IV/M.323 Procordia/Erbamont and RCNC of file S/0176/09 Pharmaceutical Laboratories.]</w:t>
      </w:r>
    </w:p>
    <w:p>
      <w:r>
        <w:t>In conclusion, the relevant product market in the case at hand will be constituted by the therapeutic area in which each of the specialties in question (specifically, the medication Valsartan) can be included, an area that will encompass all those medicines used for the treatment of one or several conditions based on their respective authorized indications and that, consequently, are substitutable among themselves.</w:t>
      </w:r>
    </w:p>
    <w:p>
      <w:r>
        <w:t>4.3. Regarding the geographic market, the Commission has established a criterion that has been repeatedly expressed in all Decisions adopted to date. In the aforementioned Decision of 10-06-91, it was already considered that pharmaceutical markets were, essentially, national markets, since the industry operates within a very restricted legal framework and the prices of the specialties are directly or indirectly regulated by national laws. This assessment from the Decision of 17-05-99, which is also shared in the recent resolutions of the CNC regarding the pharmaceutical market, remains even though the main pharmaceutical companies operate in the same set of countries. [See CNC Council Resolutions on Files 553/03 FEDIFAR; 648/08 FEFE; S/17/07 EAEPC vs. Pharmaceutical Laboratories; S/38/08 FEFE vs. Laboratories and Pharmaceutical Wholesalers; and S/176/09 Pharmaceutical Laboratories. Commission Decision of 17-05-99, Case N IV/M. 1397 Sanofi/Synthelabo, paragraph 45.]</w:t>
      </w:r>
    </w:p>
    <w:p>
      <w:r>
        <w:t>Indeed, the sale of medicines is significantly conditioned by administrative procedures or purchasing policies implemented by the national health authorities of the Member States, primarily because price control is used as the main means to control total costs. Thus, in some countries, authorities influence directly or indirectly the pricing mechanism, either by directly setting prices (as in France, Italy, or Spain), or by establishing overall control over the companies' profits (as in the United Kingdom). In others, the social security system provides different levels of reimbursement based on the different categories of medicines (as in Germany). For these reasons, the price of medicines may differ from one Member State to another. Additionally, there are significant differences regarding brand strategies and presentation sizes, as well as distribution systems. These divergences impart national characteristics to the markets. [See Commission Decisions of 10-06-91, Case IV/M.072 Sanofi/Sterling Drug; of 29-04-93, Case IV/M.323 Procordia/Erbamont; of 12-08-94, Case IV/M.480 Sanofi/Kodak; of 28-02-95, IV/M.555 Glaxo/Wellcome; of 21-09-95, Case IV/M.632 Rhône Poulenc Rorer/Fisons; of 28-09-95, IV/M.631 Upjohn/Pharmacia; of 17-07-96, Case IV/M.737 Ciba-Geigy/Sandoz; of 17-05-99, Case N IV/M. 1397 Sanofi/Synthelabo; and of 30-03-00, Case IV/M.1835, Monsanto/Pharmacia &amp; Upjohn.]</w:t>
      </w:r>
    </w:p>
    <w:p>
      <w:r>
        <w:t>Therefore, for the purposes of the conduct investigated in this specific case, the geographic scope to consider is the Spanish territory.</w:t>
      </w:r>
    </w:p>
    <w:p>
      <w:r>
        <w:t>4.4. As recorded in the file (folios 217 and 218), the medication Valsartan is an active ingredient that falls within the group Co2E2: Angiotensin II receptor blockers, primarily indicated for: (a) the treatment of hypertension; (b) the treatment of heart failure; and (c) the treatment of diseases caused by the activity of angiotensin II (folios 21 and 22).</w:t>
      </w:r>
    </w:p>
    <w:p>
      <w:r>
        <w:t>Next, and following the criteria dictated in both community and national precedents, the therapeutic group in which the specialty of the investigated conduct is considered will be analyzed, taking into account its therapeutic indications, that is, its use as listed in the Catalog of the General Council of Official Pharmaceutical Colleges (hereinafter, Catalog 2009) and/or the International Vademecum (hereinafter, Vademecum). The therapeutic group in which it is included is also expressed according to the official classification made by the Ministry of Health and Social Policy (hereinafter, Health) as listed in the Catalog, as well as that made by IMS according to documents provided by the parties.</w:t>
      </w:r>
    </w:p>
    <w:p>
      <w:r>
        <w:t>Valsartan, a compound whose therapeutic use is protected by patent ES 2.084.801, is an active ingredient present in the medicines that NOVARTIS markets worldwide under the brands DIOVAN® and CO-DIOVAN®. DIOVAN® contains exclusively Valsartan as the active ingredient, while CO-DIOVAN® differs from the former in that it also contains Hydrochlorothiazide as an active ingredient in addition to Valsartan. Regarding Spain, NOVARTIS has obtained authorization for the marketing of the following Valsartan medicines, either alone or in combination with Hydrochlorothiazide:</w:t>
      </w:r>
    </w:p>
    <w:p>
      <w:r>
        <w:t>• DIOVAN® 80 mg film-coated tablets</w:t>
        <w:br/>
        <w:t>• DIOVAN® 160 mg film-coated tablets</w:t>
        <w:br/>
        <w:t>• DIOVAN® 320 mg film-coated tablets</w:t>
        <w:br/>
        <w:t>• DIOVAN® Cardio 40 mg film-coated tablets</w:t>
        <w:br/>
        <w:t>• CO-DIOVAN® 80 mg/12.5 mg film-coated tablets</w:t>
        <w:br/>
        <w:t>• CO-DIOVAN® 160 mg/12.5 mg film-coated tablets</w:t>
        <w:br/>
        <w:t>• CO-DIOVAN® Forte 160 mg/12.5 mg film-coated tablets</w:t>
      </w:r>
    </w:p>
    <w:p>
      <w:r>
        <w:t>The medication DIOVAN, whose active ingredient is Valsartan, is indicated for (i) the treatment of essential hypertension, (ii) the treatment of heart failure, and (iii) the treatment of patients who have suffered a recent myocardial infarction (Catalog, p. 1026; Vademecum, pp. 1345, 1346). Health classifies it in the subgroup of "angiotensin II antagonists, alone" C09CA03 (Catalog, pp. 1013 and 1026), which IMS refers to as C9 (folio 270).</w:t>
      </w:r>
    </w:p>
    <w:p>
      <w:r>
        <w:t>For its part, the medication CO-DIOVAN, whose active ingredients are Valsartan and Hydrochlorothiazide, is indicated for the treatment of hypertension (Catalog, pp. 1041 to 1043; Vademecum, p. 1339). Health classifies it in the subgroup of "angiotensin II antagonists with diuretics" C09DA (Catalog, pp. 10283 and 1041), which IMS refers to as C9 (folio 270).</w:t>
      </w:r>
    </w:p>
    <w:p>
      <w:r>
        <w:t>In relation to the indication of Valsartan for the treatment of hypertension and as noted in the existing precedents [RTDC of file 1873/98, Pharmaceutical Laboratories], limiting the market by referring only to this subgroup would be too narrow, since multiple agents from various categories are used in the treatment of hypertension, and specifically, for initial treatment, five types of medications are considered appropriate: (i) diuretics, (ii) alpha-blockers, (iii) beta-blockers, (iv) ACE inhibitors, and (v) calcium antagonists. Furthermore, the "stepwise treatment" includes double or triple combinations of the above and the use of so-called centrally acting antihypertensives. The antihypertensive market to consider, therefore, would consist of the set of the five types of medications mentioned and combinations thereof, plus centrally acting antihypertensives. In IMS notation (folio 270), they would be: C2 (antihypertensives), C3 (diuretics), C7 (beta-blockers), C8 (calcium antagonists), and C9 (agents active in the renin-angiotensin system), making the IMS document provided by NOVARTIS regarding these groups (folio 270) reasonable, according to which the market share of DIOVAN® would reach 1.60%, while CO-DIOVAN® would reach a market share of 1.89%.</w:t>
      </w:r>
    </w:p>
    <w:p>
      <w:r>
        <w:t>Additionally, analyzing the rest of the therapeutic indications of DIOVAN: (i) treatment of heart failure and (ii) treatment of patients who have suffered a recent myocardial infarction; limiting the market by referring only to this medication would again be very limited, since, as indicated, this</w:t>
      </w:r>
    </w:p>
    <w:p>
      <w:r>
        <w:rPr>
          <w:b/>
        </w:rPr>
        <w:t>[Pages 7–9]</w:t>
      </w:r>
    </w:p>
    <w:p>
      <w:r>
        <w:t>this medication belongs to the subgroup known as "angiotensin II antagonists, alone" C09CA (Catalog, pp. 1013 and 1026). In the IMS notation (folio 228) they are: C09CA01 (Losartan), C09CA03 (Valsartan), C09CA04 (Irbesartan), C09CA06 (Candesartan), C09CA07 (Telmisartan), C09CA08 (Olmesartan), making the IMS document provided by ACTAVIS regarding this subgroup (folio 228) reasonable, according to which the market share of DIOVAN® would reach 31%.”</w:t>
      </w:r>
    </w:p>
    <w:p>
      <w:r>
        <w:t>5. The Directorate of Investigation describes the reported facts as follows:</w:t>
        <w:br/>
        <w:t>[…]</w:t>
        <w:br/>
        <w:t>“The reported facts are based on the carrying out of predatory or abusive litigation by NOVARTIS in order to hinder the marketing of the generic Valsartan medication when the patent expires, with the aim of delaying the entry of its generic medication (folio 1).</w:t>
      </w:r>
    </w:p>
    <w:p>
      <w:r>
        <w:t>The complainant alleges that on December 15, 2009, NOVARTIS filed a lawsuit in the Commercial Court number 2 of Barcelona for infringement of intellectual property rights requesting the adoption of precautionary measures against the following generic medication companies (folios 1 and 12 to 196):</w:t>
        <w:br/>
        <w:t>• Laboratorio Stada, S.L.</w:t>
        <w:br/>
        <w:t>• Actavis Group PTC EHF</w:t>
        <w:br/>
        <w:t>• Actavis Spain, S.A.</w:t>
      </w:r>
    </w:p>
    <w:p>
      <w:r>
        <w:t>In said complaint, NOVARTIS stated the following (folios 12 to 196):</w:t>
        <w:br/>
        <w:t>• The patent for said medication, Valsartan (indicated for the treatment of hypertension, heart failure, and diseases caused by the activity of angiotensin II), was applied for on February 12, 1991, granted on February 28, 1996, and will be in force until February 12, 2011.</w:t>
        <w:br/>
        <w:t>• Until its expiration date (February 12, 2011), the patent grants its holder the exclusive right to (i) Manufacture, offer, introduce into commerce, and use pharmaceutical preparations or compositions containing Valsartan as the active ingredient, in combination or not with other active ingredient(s), if applicable, mixed with excipients, as well as to possess or import the same for any of the aforementioned purposes; (ii) Use the compound Valsartan for the manufacture of pharmaceutical compositions indicated for the treatment of hypertension and/or heart failure, as well as to import, possess, offer, or introduce into commerce said pharmaceutical compositions; and (iii) use the processes for the preparation of Valsartan claimed therein, as well as to offer, introduce into commerce, and use the Valsartan directly obtained by said processes, or by other equivalent ones (folio 83).</w:t>
      </w:r>
    </w:p>
    <w:p>
      <w:r>
        <w:t>• The Spanish Agency of Medicines and Health Products authorized the defendants to market generic medications containing Valsartan:</w:t>
        <w:br/>
        <w:t>(cid:131) On July 20, 2009, it was authorized to LABORATORIOS STADA</w:t>
        <w:br/>
        <w:t>(cid:131) On September 22, 2009, it was authorized to ACTAVIS</w:t>
      </w:r>
    </w:p>
    <w:p>
      <w:r>
        <w:t>• In its complaint before the Commercial Court, NOVARTIS requests the adoption of precautionary measures for the temporary prohibition of acts exploiting the patent due to the fact that on December 3, 2009, in the meeting of the Interministerial Commission on Prices of Medicines, ACTAVIS obtained a price for its 3 authorized generic medications, so it will attempt to bring its medications to market as soon as possible.</w:t>
      </w:r>
    </w:p>
    <w:p>
      <w:r>
        <w:t>Specifically, in the lawsuit filed by NOVARTIS before the Commercial Court number 2 of Barcelona, the plaintiff states the following:</w:t>
        <w:br/>
        <w:t>“(…) 9. The manufacture, possession, offering, and/or marketing of the defendants' products would infringe patent ES 2.084.801 because: (a) Since to manufacture a film-coated tablet of Valsartan (…) it is necessary to mix Valsartan with at least one excipient (…), it is beyond any conceivable doubt that the generic medications of the defendants invade at least the scope of protection of Claim 34; (b) Since (…) they are indicated for the treatment of hypertension, they also invade the scope of protection of Claim 35, since, like the original medication of my representatives, they are indicated for the treatment of said pathology. Likewise, the products of STADA will also invade the scope of protection of Claim 36, as they are indicated for the treatment of heart failure; (…)</w:t>
      </w:r>
    </w:p>
    <w:p>
      <w:r>
        <w:t>11. (…) ACTAVIS has already obtained a price for three of its medications. In a normal course of events, it is foreseeable that STADA and ACTAVIS themselves, regarding their other three medications, will obtain a price in the next meeting of the Interministerial Commission on Prices, to be held in January, as they obtained their marketing authorizations approximately at the same time.</w:t>
      </w:r>
    </w:p>
    <w:p>
      <w:r>
        <w:t>12. Considering that all companies have a logical interest in launching their product to market as soon as possible after obtaining the price, since the first generic medications that come to market obtain the largest market share, my principals do not doubt that as soon as the Interministerial Commission on Prices sets the sale price of their generic Valsartan medications (ACTAVIS has just obtained it), STADA and ACTAVIS: a) Will manufacture, acquire, and/or import to Spain the active ingredient Valsartan or pharmaceutical compositions of Valsartan; b) Will proceed to offer and/or launch into the Spanish market pharmaceutical compositions containing Valsartan as the active ingredient; and/or c) Will have transferred to third parties some of the marketing authorizations for generics of Valsartan that they have processed before the AEMPS, acts to which, in accordance with Articles 50 and 51 of the Patent Law, the ius prohibendi of my principals extends.</w:t>
      </w:r>
    </w:p>
    <w:p>
      <w:r>
        <w:t>13. For all these reasons, this lawsuit is filed in order to obtain from the Courts effective judicial protection of the rights derived from patent ES 2.084.801 (…)” (folios 16 and 17).</w:t>
      </w:r>
    </w:p>
    <w:p>
      <w:r>
        <w:t>Subsequently, on February 12, 2010, ACTAVIS responded to the lawsuit, stating that: (folios 197 to 202):</w:t>
        <w:br/>
        <w:t>• ACTAVIS had no intention of marketing its product before the patent expires, and the plaintiff could have known of these intentions if it had approached ACTAVIS as is customary.</w:t>
        <w:br/>
        <w:t>• The facts in which ACTAVIS had participated are exclusively the obtaining of a marketing authorization and price, all of them covered by Law 26/2009 on medicines and Law 11/1986 on Patents.</w:t>
      </w:r>
    </w:p>
    <w:p>
      <w:r>
        <w:t>Later, on February 17, 2010, NOVARTIS withdrew the lawsuit, due to the fact that in its writing of the 12th, ACTAVIS stated that it would not market its generic medication before the patent of the Valsartan medication expired. On the same day, ACTAVIS accepted the withdrawal in order to avoid incurring further expenses (folios 197 to 202).</w:t>
      </w:r>
    </w:p>
    <w:p>
      <w:r>
        <w:t>Likewise, NOVARTIS states that it withdrew the lawsuit against STADA for the same reasons alleged in relation to ACTAVIS (folio 273).”</w:t>
      </w:r>
    </w:p>
    <w:p>
      <w:r>
        <w:t>6. On December 2, 2010, the DI submitted to the Council of the CNC a resolution proposal in which, in view of the information in the file and the applicable regulations, it concludes the absence of indications of infringement of Articles 2 and 3 of the LDC. Therefore, in accordance with the provisions of Article 49.3 of the LDC, the Directorate of Investigation proposes to the Council of the CNC the filing of the actions carried out.</w:t>
      </w:r>
    </w:p>
    <w:p>
      <w:r>
        <w:t>7. The Council of the National Competition Commission deliberated and ruled this Resolution in its meeting of April 12, 2011.</w:t>
      </w:r>
    </w:p>
    <w:p>
      <w:r>
        <w:t>LEGAL GROUNDS</w:t>
        <w:br/>
        <w:t>First.- Article 49.1 of Law 15/2007 (LDC) provides that the Directorate of Investigation shall initiate sanctioning proceedings when it observes reasonable indications of the existence of prohibited conduct in Articles 1, 2, and 3 of the Law. In number 3 of the same legal provision, it is added that the Council, at the proposal of the Directorate of Investigation, shall agree not to initiate sanctioning proceedings and, consequently, the filing of the actions carried out when it considers that there are no indications of infringement.</w:t>
      </w:r>
    </w:p>
    <w:p>
      <w:r>
        <w:rPr>
          <w:b/>
        </w:rPr>
        <w:t>[Pages 10–11]</w:t>
      </w:r>
    </w:p>
    <w:p>
      <w:r>
        <w:t>The Directorate of Investigation proposes to this Council the filing of the reserved proceedings file S/228/10 Novartis. Therefore, the purpose of this Resolution is to determine whether the information available in the file indicates the existence of signs of the prohibited conduct in Articles 2 and 3 of the LDC that would warrant the initiation of a sanctioning procedure or, conversely, the filing of the reserved proceedings conducted.</w:t>
      </w:r>
    </w:p>
    <w:p>
      <w:r>
        <w:t>Second.- The complainant argues that the lawsuit filed against her and other laboratories by Novartis for patent infringement with a request for precautionary measures due to the imminent signs of infringement by the defendant (manufacturing and marketing in the Spanish market of medicines whose active ingredient is Valsartan before the expiration of Novartis's patent) constitutes an abuse of dominant position prohibited by Article 2 of the LDC, as it would have no other objective than to hinder or delay the marketing of her generic once the patent expires. Actavis claims that its only action has been to request and obtain from the competent Administration authorization for the marketing and pricing of certain generic medicines whose active ingredient is Valsartan, and that if the objective of the complainant and here denounced were to ascertain whether Actavis intended to market its generic before the expiration date of its patent right (12/02/2011), the usual practice in the sector is to send a request for that purpose and not to file a lawsuit that includes precautionary measures against supposed imminent acts that do not exist, but that, if adopted by the Court, would have the effect of extending the exclusive marketing beyond the validity of the patent right, thus eliminating the free competition enshrined in Article 38 of the Spanish Constitution.</w:t>
      </w:r>
    </w:p>
    <w:p>
      <w:r>
        <w:t>Article 2 of the LDC prohibits the abusive exploitation, by one or more companies, of their dominant position in all or part of the national market. Therefore, the application of this anticompetitive offense requires, first of all, to demonstrate that the reported company holds a dominant position in the relevant market.</w:t>
      </w:r>
    </w:p>
    <w:p>
      <w:r>
        <w:t>Actavis seems to argue that the relevant market for these purposes is the Spanish market for "AT1 Angiotensin II Receptor Blockers" indicated for the treatment of essential hypertension, in which Novartis (along with its licensees) would hold, due to its ownership of the patent on the active ingredient Valsartan, a 45% market share in terms of units and 52% in terms of sales.</w:t>
      </w:r>
    </w:p>
    <w:p>
      <w:r>
        <w:t>On the contrary (AH 4.2), the Directorate of Investigation argues that defining the relevant market in this way seems too limited since multiple agents from various categories are used in the treatment of hypertension, so in the Spanish antihypertensive market to be considered and according to the IMS document provided by NOVARTIS, the market share of Novartis's medication DIOVAN® would reach 1.60%, while CO-DIOVAN® would reach a market share of 1.89%. The DI adds that for the other therapeutic indications of DIOVAN (treatment of heart failure and treatment of patients who have suffered a recent myocardial infarction), this medication has a market share of 31% and there are also other laboratories that manufacture and market other substitutable medicines indicated for the same treatment, which would hinder NOVARTIS's independence of behavior concerning the rest of the operators (AH 4.4).</w:t>
      </w:r>
    </w:p>
    <w:p>
      <w:r>
        <w:t>The Council considers that to resolve the filing proposal submitted by the Directorate of Investigation, it is not necessary to finalize the delimitation of the relevant product market, since although the filing by Novartis of a lawsuit with a request for precautionary measures may seem, a priori, an excessive or disproportionate instrument in light of Actavis's conduct to demonstrate its intention to respect the patent right on the active ingredient Valsartan, to the extent that the withdrawal of the lawsuit by Novartis does not respond to any agreement or transaction between the parties, this Council considers that there are no signs of abusive exercise of the right to judicial protection that would justify further instruction.</w:t>
      </w:r>
    </w:p>
    <w:p>
      <w:r>
        <w:t>For the same reason, the Council considers that there are no signs of infringement of Article 3 of the LDC, which prohibits acts of unfair competition that, by distorting free competition, affect the public interest.</w:t>
      </w:r>
    </w:p>
    <w:p>
      <w:r>
        <w:t>In light of the above, and having regard to the cited legal provisions and those of general application, the Council of the National Competition Commission</w:t>
      </w:r>
    </w:p>
    <w:p>
      <w:r>
        <w:t>HAS RESOLVED</w:t>
      </w:r>
    </w:p>
    <w:p>
      <w:r>
        <w:t>SOLE.- Not to initiate a sanctioning procedure and to file the reserved proceedings followed as a result of the complaint filed by ACTAVIS GROUP PTC EHF against NOVARTIS AG and NOVARTIS FARMACÉUTICA, S.A., as no signs of infringement of Articles 2 and 3 of the Competition Defense Law are appreciated in the investigated facts.</w:t>
      </w:r>
    </w:p>
    <w:p>
      <w:r>
        <w:t>This Resolution shall be communicated to the Directorate of Investigation and notified to the complainant and the complained party, informing them that it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