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https://www.cnmc.es/expedientes/s023510</w:t>
      </w:r>
    </w:p>
    <w:p>
      <w:r>
        <w:t>Pages translated : 38</w:t>
      </w:r>
    </w:p>
    <w:p/>
    <w:p>
      <w:r>
        <w:rPr>
          <w:b/>
        </w:rPr>
        <w:t>[Pages 1–3]</w:t>
      </w:r>
    </w:p>
    <w:p>
      <w:r>
        <w:t xml:space="preserve">RESOLUTION  </w:t>
        <w:br/>
        <w:t xml:space="preserve">(Expte S/235/10, FEMP-High Councils Agreements)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Gutiérrez Carrizo, Councilor  </w:t>
        <w:br/>
        <w:t xml:space="preserve">Ms. Paloma Ávila de Grado, Councilor  </w:t>
        <w:br/>
        <w:t xml:space="preserve">Mr. Luis Díez Martín, Councilor  </w:t>
        <w:br/>
        <w:t xml:space="preserve">In Madrid, on December 28, 2011  </w:t>
        <w:br/>
        <w:t xml:space="preserve">The Council of the National Competition Commission (the Council), with the composition expressed above and with Councilor Ms. María Jesús González López as Rapporteur, has issued the following Resolution of Conventional Termination in the sanctioning file "Expte S/235/10, FEMP-High Councils Agreements," initiated on January 13, 2011, for alleged conduct contrary to Law 15/2007, of July 3, on the Defense of Competition (LDC).  </w:t>
        <w:br/>
        <w:t xml:space="preserve">BACKGROUND  </w:t>
        <w:br/>
        <w:t xml:space="preserve">1. On February 11, 2010, the Association of Independent Quality and Technical Control Companies (hereinafter AECCTI) and the Spanish Association of Inspection and Certification Groups (hereinafter AEGIC) filed a complaint with the National Competition Commission (CNC) against the Architects' Associations of the Canary Islands, Catalonia, Madrid, Extremadura, Murcia, and the Valencian Community, the Ministry of Development of the Junta de Extremadura, the Council of Associations and Secretaries, Auditors, and Treasurers of Local Administration in Catalonia, the Federation of Municipalities of Catalonia, the Catalan Association of Municipalities and Regions, the Spanish Federation of Municipalities and Provinces (hereinafter FEMP), the High Council of Architects' Associations of Spain (hereinafter CSCAE), the Urban Planning Management of the City Council of Murcia, and the City Councils of Barcelona, Santa Cruz de Tenerife, and the demarcation of Tenerife, La Gomera, and El Hierro, Valencia, Sabadell, San Sebastián de los Reyes, and Móstoles, for practices contrary to Article 1 of the LDC, consisting of the signing of collaboration agreements establishing the so-called technical suitability visa through which other Professional Associations and/or private entities could be excluded from providing that service (folios 1 to 170).  </w:t>
        <w:br/>
        <w:t xml:space="preserve">2. The Investigation Directorate, in accordance with section 2 of Article 49 of the LDC, initiated a reserved inquiry with file number S/0235/10 to preliminarily determine the existence of circumstances justifying the initiation of a sanctioning file.  </w:t>
        <w:br/>
        <w:t xml:space="preserve">3. On March 12, 2010 (folios 171 and 173), the Investigation Directorate requested information from the complainants regarding the existence or not of attempts by AECTI and AEGIC to sign agreements with municipalities or other public entities with content similar to that reported. On March 24, 2010, AECCTI and AEGIC, through their legal representative, responded to that request for information (folios 176 to 198).  </w:t>
        <w:br/>
        <w:t xml:space="preserve">4. On May 3, 2010, the Investigation Directorate requested information from the FEMP regarding possible agreements that this entity may have signed with the CSCAE concerning the technical suitability visa, as well as, if applicable, the dissemination, implementation, and monitoring that had been carried out in relation to that agreement (folios 199 to 203).  </w:t>
        <w:br/>
        <w:t xml:space="preserve">5. On the same date, the Investigation Directorate requested information from the CSCAE regarding the existence, dissemination, implementation, and monitoring of the agreement signed with the FEMP (folios 206 to 210).  </w:t>
        <w:br/>
        <w:t xml:space="preserve">6. On May 3, 2010, the Investigation Directorate requested information from the Architects' Association of Madrid (COAM) regarding the signing by that Association of collaboration agreements with the municipalities of the Autonomous Community of Madrid and regarding the professional visa (folios 213 to 216).  </w:t>
        <w:br/>
        <w:t xml:space="preserve">7. On May 14, 2010, the CSCAE and the FEMP responded to the request for information made by the Investigation Directorate on May 3 (folios 281 to 294 and folios 295 to 369, respectively).  </w:t>
        <w:br/>
        <w:t xml:space="preserve">8. In its response, the FEMP provided, in addition to the two agreements that had been signed between it and the CSCAE, the agreement signed between the FEMP and the General Council of Quantity Surveyors and Technical Architects (CGAAT) and the draft agreement between the FEMP and the General Council of Official Technical Engineers and Industrial Engineers (COGITI), for the improvement of procedures for obtaining municipal licenses.  </w:t>
        <w:br/>
        <w:t xml:space="preserve">9. On June 28, 2010, the Investigation Directorate requested information from the City Councils of Tarragona (folio 371 and 374), Sant Cugat del Vallés (folios 377 to 380), Sabadell (folios 384 to 387), Lleida (folios 390 to 393), and Barcelona (folios 396 to 399) regarding the signing by these city councils of collaboration agreements with Professional Associations regulating the technical suitability visa, as well as regarding the existence of municipal ordinances regulating that visa.  </w:t>
        <w:br/>
        <w:t xml:space="preserve">10. Once the responses from the city councils and the COAM were analyzed, as well as the content of the complaint, the Investigation Directorate found that part of the conduct subject to the complaint did not affect the entire national territory or a scope greater than that of the respective Autonomous Communities; therefore, on September 22, 2010, the Investigation Directorate proceeded to break down the responses from the City Council of Barcelona (folios 648 to 650), Sant Cugat del Vallés (folios 663 and 665), Sabadell (folios 669 and 671), Tarragona (folios 679 and 681), and the COAM (folios 674 and 676), as well as to deduce testimony from the complaint and from the response to the request of AECCTI and AEGIC dated March 24, 2010 (folios 658 and 659), for its referral to the competent Autonomous Communities.  </w:t>
        <w:br/>
        <w:t xml:space="preserve">11. On September 27, 2010, AECCTI and AEGIC submitted allegations regarding the deduction of testimony from the complaint (folios 685 to 691), in which they expressed their opposition to the breakdown of part of the documentation of the sanctioning file and to the deduction of testimony, considering that all signed agreements should be analyzed in a single sanctioning file processed by the CNC. On October 1, 2010, a document from AECCTI was received at the CNC reiterating the opposition to the breakdown of the file and providing a letter sent by the president of the CSCAE on September 13 of the same year to all its members (folios 697 to 701).  </w:t>
        <w:br/>
        <w:t xml:space="preserve">12. On October 4, 2010, the City Council of Sant Cugat del Vallés submitted allegations regarding the breakdown of the documentation provided by this entity (folios 702 to 703), considering that from the mentioned documentation, no breach of the LDC could be derived, as there was no signed agreement between that City Council and the Official College of Architects of Catalonia.  </w:t>
        <w:br/>
        <w:t>13. On January 13, 2011, in accordance with the provisions of Article 49.1 of the LDC, the Investigation Directorate agreed to initiate a sanctioning file against the FEMP, the CSCAE, the CGAAT, and the COGITI, for a possible infringement of Article 1 of the LDC consisting of the conclusion of agreements or collective recommendations that could promote the implementation of technical suitability visas in the municipalities that could de facto exclude other entities, creating a reserve of activity for the provision of these services in favor of the architects' associations, technical architects, and industrial technical engineers, respectively (folios 705 to 707). The Investigation Directorate declared the two complainant entities (AECCTI and AEGIC) interested in the file. The initiation was notified to the parties on January 14, 2011.</w:t>
      </w:r>
    </w:p>
    <w:p>
      <w:r>
        <w:rPr>
          <w:b/>
        </w:rPr>
        <w:t>[Pages 4–6]</w:t>
      </w:r>
    </w:p>
    <w:p>
      <w:r>
        <w:t>14. On January 20, 2011, the Investigation Directorate requested information from the FEMP regarding the existence of other collaboration agreements or negotiations aimed at signing agreements similar to those signed with the CSCAE and the CGAAT. Additionally, the FEMP was asked to clarify the objectives of establishing the new visa (folios 768 to 770). On February 2, 2011, the FEMP responded to this request by providing the agreement that had been signed between this association and the General Council of Official Associations of Industrial Engineers (CGCOII) on December 15, 2010 (folios 811 to 824).</w:t>
      </w:r>
    </w:p>
    <w:p>
      <w:r>
        <w:t>15. On the same date, information was requested from the AECCTI and AEGIC regarding the existence of attempts to negotiate Regulatory Agreements for the technical suitability visa of the complainants with the FEMP and, if applicable, the outcome of those attempts (folios 773 to 775). On January 31, 2011, the response to this request was received (folios 808 to 810).</w:t>
      </w:r>
    </w:p>
    <w:p>
      <w:r>
        <w:t>16. On January 26, 2011, the COGITI submitted allegations to the Agreement of initiation stating that, since no agreement had been signed with the FEMP, the initiation of the proceedings against this Superior Council was not appropriate (folios 800 to 807).</w:t>
      </w:r>
    </w:p>
    <w:p>
      <w:r>
        <w:t>17. On March 30, 2011, the CSCAE submitted a document of allegations regarding the initiation of the sanctioning file in which it informed the Investigation Directorate of the termination, on March 24, 2011, of the agreement that had been signed by the CSCAE and the FEMP on April 17, 2009, and, consequently, the loss of object in the sanctioning file that was being processed by the Investigation Directorate (folios 882 to 885).</w:t>
      </w:r>
    </w:p>
    <w:p>
      <w:r>
        <w:t>18. On April 12, 2011, the Investigation Directorate agreed to extend the initiation of the file to the CGCOII. The extension of the initiation was notified to all interested parties in the file and to the CGCOII on April 15, 2011 (folios 895 to 940).</w:t>
      </w:r>
    </w:p>
    <w:p>
      <w:r>
        <w:t>19. On April 13, 2011, a document from AECCTI and AEGIC was received at the CNC informing that they had not been able to meet with the FEMP and the response they had received from it (folios 886 to 894).</w:t>
      </w:r>
    </w:p>
    <w:p>
      <w:r>
        <w:t>20. On April 27, 2011, the Investigation Directorate requested information from the FEMP regarding the agreements signed by the FEMP with the CGAAT, the CGCOII, and the COGITI. Additionally, information was also requested regarding the request for the signing of an agreement that AECCTI and AEGIC had made to the FEMP and of which the Investigation Directorate had been informed on April 13, for the signing of an agreement similar to those that the FEMP had signed with the Councils of Professional Associations (folios 958 to 961). The FEMP responded to this request on May 11, 2011 (folios 1035 to 1082).</w:t>
      </w:r>
    </w:p>
    <w:p>
      <w:r>
        <w:t>21. On the same date, information was requested from the CSCAE (folios 964 to 966), CGAAT (folios 969 to 971), and the CGCOII (folios 974 to 976) regarding the dissemination and follow-up of the agreements signed between these General Councils of Professional Associations and the FEMP. On May 9, 2011, responses were received from the CSCAE (folios 996 to 1000); CGAAT (folios 1,001 to 1,013), and on May 10, 2011, from the CGCOII (folios 1,014 to 1,034).</w:t>
      </w:r>
    </w:p>
    <w:p>
      <w:r>
        <w:t>22. On May 3, 2011, the FEMP sent a document to the Investigation Directorate informing about the termination of the Collaboration Agreements that were the subject of this sanctioning file and requesting the initiation of the Conventional Termination procedure established in Article 52 of the LDC (folios 979 to 989).</w:t>
      </w:r>
    </w:p>
    <w:p>
      <w:r>
        <w:t>23. On May 11, 2011, the Investigation Directorate agreed to initiate the proceedings aimed at the Conventional Termination of the sanctioning procedure (folio 1,083), notifying the interested parties on May 12, 2011 (folios 1,084 to 1,122). They were also provided with the commitments that had been presented by the FEMP on May 3, 2011.</w:t>
      </w:r>
    </w:p>
    <w:p>
      <w:r>
        <w:t>24. On May 12, 2011, a document from the Official College of Technical Telecommunications Engineers (COITT) was received at the CNC, requesting its participation as an interested party in the file (folio 1,123). On May 17, 2011, the Investigation Directorate requested the COITT to rectify this request (folios 1,129 and 1,130), which it did by written document dated May 20, 2011 (folios 1,133 to 1,137). On May 24, 2011, the Investigation Director agreed to deny the participation of the COITT in the file (folios 1,143 to 1,144), notifying the COITT and the other interested parties on May 25, 2011 (folios 1,145 to 1,186).</w:t>
      </w:r>
    </w:p>
    <w:p>
      <w:r>
        <w:t>25. On May 13, 2011, a document from the CSCAE was received at the CNC reiterating its request for the filing of the file, as well as its adherence to the commitments presented by the FEMP and that had been sent to them along with the initiation of the Conventional Termination on May 12 (folios 1,124 and 1,125).</w:t>
      </w:r>
    </w:p>
    <w:p>
      <w:r>
        <w:t>26. On May 16, 2011, a document from the COGITI was received at the CNC reiterating the allegations presented regarding the initiation of the file and accepting the commitments proposed by the FEMP and the Conventional Termination of the file (folios 1,126 and 1,127).</w:t>
      </w:r>
    </w:p>
    <w:p>
      <w:r>
        <w:t>27. On May 23, 2011, allegations from the complainants regarding the initiation of the Conventional Termination were received at the CNC (folios 1,138 to 1,141). In them, the complainants consider that the commitments presented by the FEMP up to that date were not sufficient to resolve the competition problems that the agreements signed by the FEMP had posed, as the proposal for commitments did not contain the use of the same means to disseminate the commitments as those that the FEMP had used for the dissemination of the agreements.</w:t>
      </w:r>
    </w:p>
    <w:p>
      <w:r>
        <w:t>28. On May 24, 2011, the CGCOII submitted a document formulating allegations to the Conventional Termination, adhering to the commitments of the FEMP and requesting the filing of the proceedings as the agreement with the FEMP had been resolved (folio 1,142).</w:t>
      </w:r>
    </w:p>
    <w:p>
      <w:r>
        <w:t>29. On May 26, 2011, the CGAAT submitted a document formulating allegations to the Conventional Termination procedure, expressing its agreement with the FEMP's proposal (folio 1,187). Along with this adherence, the CGAAT makes an observation regarding the final content that the final decision to transmit the Conventional Termination to third parties might have, in the sense that it should not be inferred from it that the municipalities and Professional Associations cannot enter into agreements.</w:t>
      </w:r>
    </w:p>
    <w:p>
      <w:r>
        <w:t>30. On May 30, 2011, a document from the FEMP regarding the denial of participation of the COITT in the reference file was received at the CNC. In its document, the FEMP stated that no conversations had been held with the COITT, nor did the FEMP contemplate the possibility of negotiating new agreements (folios 1,188 and 1,189).</w:t>
      </w:r>
    </w:p>
    <w:p>
      <w:r>
        <w:t>31. On June 14, 2011, a document from the FEMP was received at the CNC in which it completes the proposal for Conventional Termination sent to the Investigation Directorate on May 3, regarding the commitment to communicate the Conventional Termination to the various local entities that belong to this association (folios 1,190 to 1,193).</w:t>
      </w:r>
    </w:p>
    <w:p>
      <w:r>
        <w:t>32. On July 5, 2011, the FEMP submitted a modified proposal of commitments (folios 1,194 to 1,196), pending its submission to the Executive Committee of the association.</w:t>
      </w:r>
    </w:p>
    <w:p>
      <w:r>
        <w:t>33. On July 12, 2011, the agreement adopted by the Executive Committee of the FEMP on July 11, approving the proposal of commitments presented to the CNC on July 5, was received at the CNC (folios 1,197 to 1,199).</w:t>
      </w:r>
    </w:p>
    <w:p>
      <w:r>
        <w:t>34. On September 16, 2011, the DI submitted the Proposal for Conventional Termination of the procedure to the Council.</w:t>
      </w:r>
    </w:p>
    <w:p>
      <w:r>
        <w:t>35. The Council deliberated and resolved this file in its meeting on December 21, 2011.</w:t>
      </w:r>
    </w:p>
    <w:p>
      <w:r>
        <w:t>36. The interested parties in this file are:</w:t>
        <w:br/>
        <w:t>• Association of Quality Control and Independent Technical Control Companies (“AECCTI”)</w:t>
        <w:br/>
        <w:t>• Spanish Association of Business Groups for Inspection and Certification (“AEGIC”)</w:t>
      </w:r>
    </w:p>
    <w:p>
      <w:r>
        <w:rPr>
          <w:b/>
        </w:rPr>
        <w:t>[Pages 7–9]</w:t>
      </w:r>
    </w:p>
    <w:p>
      <w:r>
        <w:t>• Spanish Federation of Municipalities and Provinces (“FEMP”)</w:t>
        <w:br/>
        <w:t>• Higher Council of Architects' Associations of Spain (“CSCAE”)</w:t>
        <w:br/>
        <w:t>• General Council of Quantity Surveyors and Technical Architects (“CGAAT”)</w:t>
        <w:br/>
        <w:t>• General Council of Official Industrial Engineers (“CGCOII”)</w:t>
        <w:br/>
        <w:t>• General Council of Official Surveyors and Technical Industrial Engineers (“COGITI”).</w:t>
      </w:r>
    </w:p>
    <w:p>
      <w:r>
        <w:t>PROVEN FACTS</w:t>
        <w:br/>
        <w:t>The Report and Proposal for Conventional Termination submitted by the DI to the Council makes the following description of the relevant facts in this file.</w:t>
      </w:r>
    </w:p>
    <w:p>
      <w:r>
        <w:t>A) THE PARTIES</w:t>
        <w:br/>
        <w:t>Complainants.</w:t>
        <w:br/>
        <w:t>• Association of Independent Quality Control and Technical Control Companies (“AECCTI”)</w:t>
        <w:br/>
        <w:t>AECCTI emerged in 2007 from the merger of the two main business entities in the technical control and construction sector existing in Spain: the Association of Independent Technical Control Bodies and the Association of Independent Quality Control Organizations.</w:t>
        <w:br/>
        <w:t>As an entity, AECCTI encompasses more than 30 companies specializing in technical and quality control in construction that have multidisciplinary teams (engineers, architects, technical architects, graduates, etc.), experts in various technological fields (environment, acoustics, accessibility, technical assistance, pathologies, energy efficiency, etc.).</w:t>
        <w:br/>
        <w:t>As an association, AECCTI represents quality control companies in the Council of Sustainability, Innovation, and Quality in Construction, and is a member of the Advisory Commission for Energy Certification, which includes the Ministries of Housing and Industry.</w:t>
        <w:br/>
        <w:t>The sectoral structure of the association is constituted by the sections of OCT (Technical Control Bodies) and ECCE (Quality Control Companies in Construction).</w:t>
      </w:r>
    </w:p>
    <w:p>
      <w:r>
        <w:t>• Spanish Association of Business Groups for Inspection and Certification (“AEGIC”)</w:t>
        <w:br/>
        <w:t>AEGIC was established in April 2007 and is formed by 7 Spanish business groups (AENOR, APPLUS, ATISAE, Bureau Veritas, SGS, Eurocontrol, and TÜVRheinland Group), which develop services in the following areas: industrial safety inspection and inspection and control in the industrial field, non-destructive testing, control and technical assistance in construction, civil works, evaluation and prevention of occupational risks, inspection and technical assistance in the field of the environment, auditing and/or certification of management systems and products.</w:t>
      </w:r>
    </w:p>
    <w:p>
      <w:r>
        <w:t>Respondents.</w:t>
        <w:br/>
        <w:t>• Spanish Federation of Municipalities and Provinces (“FEMP”)</w:t>
        <w:br/>
        <w:t>The FEMP is the Association of Local Entities with the largest presence in Spain, grouping municipalities, provincial councils, councils, and island councils, with a total of 7,287 members, representing more than 89% of Spanish local entities.</w:t>
        <w:br/>
        <w:t>The FEMP was established under the provisions of the fifth additional provision of Law 7/1985, of April 2, Regulating the Bases of Local Regime and was declared a Public Utility Association by Agreement of the Council of Ministers on June 26, 1985.</w:t>
        <w:br/>
        <w:t>In addition, the FEMP is the Spanish Section of the Council of Municipalities and Regions of Europe and the official headquarters of the Ibero-American Organization for Intermunicipal Cooperation.</w:t>
        <w:br/>
        <w:t>Article 6 of its Statutes establishes that the purposes of the FEMP are: (i) the promotion and defense of the autonomy of local entities; (ii) the representation and defense of the general interests of local entities before other public administrations; (iii) the development and consolidation of the European spirit at the local level based on autonomy and solidarity among local entities; (iv) the promotion and encouragement of friendly relations and cooperation with local entities and their organizations at the international level, especially with European, Ibero-American, and Arab municipalism; (v) the provision, directly or through companies or entities, of all kinds of services to local corporations or to entities dependent on them; and (vi) any other purpose that directly or indirectly affects its members.</w:t>
      </w:r>
    </w:p>
    <w:p>
      <w:r>
        <w:t>• Higher Council of Architects' Associations of Spain (“CSCAE”)</w:t>
        <w:br/>
        <w:t>Created by Decree of June 13, 1931, the Higher Council of Architects' Associations of Spain is the body that brings together all the Associations to achieve common general interests. It is also the representative body of the associations and the profession before public and private corporations, and before international organizations, and the final instance of appeal in corporate matters (application of professional ethics).</w:t>
        <w:br/>
        <w:t>Its functions and competencies, as well as the bases of its organization, are regulated by the Statutes for the Regime and Governance of Architects' Associations, approved by Royal Decree 327/2002 of April 5, as well as by what is generally provided by state legislation on Professional Associations (Law 2/1974, of February 13).</w:t>
        <w:br/>
        <w:t>Among the functions of the CSCAE for the fulfillment of its purposes according to the aforementioned general Statutes, it is worth highlighting, in addition to the unitary representation of the profession, "the preparation and approval of the General Ethical Regulations of the Profession, as well as the preparation of common regulations and general guidelines for coordination in matters of common interest and maintaining the General Register of Architects formed by the consolidation of duly updated collegiate registers" (Article 6).</w:t>
      </w:r>
    </w:p>
    <w:p>
      <w:r>
        <w:t>• General Council of Quantity Surveyors and Technical Architects (“CGAAT”)</w:t>
        <w:br/>
        <w:t>According to Article 8 of its Statutes, the CGATT (currently called the General Council of Technical Architecture of Spain) "is a public law corporation that has its own legal personality and full capacity to fulfill its purposes, configured as the representative body of the profession and coordinator of its collegiate organization, at the state and international level."</w:t>
        <w:br/>
        <w:t>The primary purposes of the General Council are the representation and defense of the interests of the profession at the state and international level; the representation and coordination of the professional organization as a whole; the information on draft legal norms of a state nature that affect professional functions and study plans; the information on the recognition files of qualifications issued in other States for access to the profession of technical architect, when requested by the corresponding Administration, the resolution of appeals raised within its competence, and the promotion at all levels of the highest prestige for the profession.</w:t>
      </w:r>
    </w:p>
    <w:p>
      <w:r>
        <w:t>• General Council of Official Industrial Engineers (“CGCOII”)</w:t>
        <w:br/>
        <w:t>The CGCOII is configured as the superior body in matters of its competence and coordinator of the official associations, and represents the profession at the national and international level. It has its own legal personality and full capacity to fulfill its purposes and exercise its powers.</w:t>
        <w:br/>
        <w:t>Its primary functions, as established in Article 32 of the Royal Decree approving its Statute, are to coordinate and arbitrate the relationships between the various associations and represent them in the international sphere and before the General Administration of the State regarding the profession of industrial engineer, as well as the defense of the profession and the rights of its members and the establishment of criteria for the regulation of the profession within its competence.</w:t>
      </w:r>
    </w:p>
    <w:p>
      <w:r>
        <w:t>• General Council of Official Surveyors and Technical Industrial Engineers (“COGITI”)</w:t>
        <w:br/>
        <w:t>The COGIT (currently the General Council of Technical Industrial Engineering) is the superior body in matters of the competence of the associations and coordinator of the same, and will represent the profession of surveyor and technical industrial engineer at the national and international level.</w:t>
      </w:r>
    </w:p>
    <w:p>
      <w:r>
        <w:rPr>
          <w:b/>
        </w:rPr>
        <w:t>[Pages 10–12]</w:t>
      </w:r>
    </w:p>
    <w:p>
      <w:r>
        <w:t>impacto ambiental, informes de seguridad, y otros requisitos técnicos que varían según el tipo de proyecto y la normativa local aplicable.</w:t>
      </w:r>
    </w:p>
    <w:p>
      <w:r>
        <w:t>3. Conclusiones</w:t>
        <w:br/>
        <w:t>A la luz de lo expuesto, se concluye que los servicios de verificación normativa y documental que se derivan de los convenios firmados por la FEMP con los distintos Consejos Superiores de Colegios Profesionales no se encuentran dentro de la reserva de actividad de los Colegios Profesionales, ya que no son servicios que se limiten exclusivamente a la función de visado colegial. Por lo tanto, los Ayuntamientos tienen la capacidad de establecer convenios con otras entidades, además de los Colegios Profesionales, para la prestación de estos servicios, siempre que se garantice la calidad y el cumplimiento de la normativa aplicable.</w:t>
      </w:r>
    </w:p>
    <w:p>
      <w:r>
        <w:rPr>
          <w:b/>
        </w:rPr>
        <w:t>[Pages 13–15]</w:t>
      </w:r>
    </w:p>
    <w:p>
      <w:r>
        <w:t>impact assessment, conditioning and adaptation of premises, expert assessments, security installations and storage, etc., which presents a multidisciplinary scenario not necessarily subject to professional visa, and in which the provision of services for document management and regulatory adaptation, which are the subject of the agreements analyzed in this file, would fit. The specific content of the services related in the various agreements signed by the FEMP is reserved for the agreements that each municipality signs with the corresponding official college, but even so, it is regulated in general terms what the content of these services for document verification and regulatory adaptation should be.</w:t>
      </w:r>
    </w:p>
    <w:p>
      <w:r>
        <w:t>In this regard, the agreements signed between the FEMP and the CSCAE and the FEMP and the CGAAT establish that the technical quality control visa consists of “a control procedure by the Colleges of Architects for the adequacy of a basic building project, and where applicable, of an activity project, to a set of parameters determined by the regulations applicable to the projects” (these parameters being those that will be determined through the individual agreements).</w:t>
      </w:r>
    </w:p>
    <w:p>
      <w:r>
        <w:t>Alongside this, both agreements also consider that part of the control procedure established therein includes the verification of the incorporation of documentation in the project, thus limiting itself to the two elements related in this paragraph and the previous one. The draft agreement FEMP-COGITI of March 8, 2010, defines the services regulated through it as “the control procedure by the Colleges of Technical Industrial Engineers for the adequacy of projects and other technical works of industrial building and, where applicable, those subject to municipal activity license to a set of parameters and other technical works.”</w:t>
      </w:r>
    </w:p>
    <w:p>
      <w:r>
        <w:t>Despite establishing that the parameters will be determined by specific agreements, in this case, certain aspects that could be included in the new services to be provided by the Colleges of Technical Industrial Engineers are incorporated as examples, which will be added to the verification by the college of the incorporation in the project or technical work of the documentation related in each agreement. Among the data that could be incorporated, the framework agreement establishes, among others, the following: accredited professional qualification of the contractor; that the designer is not professionally or judicially disqualified; that the professional's actions comply with ethics and good practices respecting the rights and interests of the recipients; that the designer is registered in the IAE; that the work project covers activities for which the designer has accreditation and includes all documents required by labor risk legislation; and that the project or technical work has effectively fulfilled the formal content of compliance with the applicable regulations and standards.</w:t>
      </w:r>
    </w:p>
    <w:p>
      <w:r>
        <w:t>Finally, the regulation through the agreement signed between the FEMP and the CGCOII of the so-called professional intervention certificate establishes that it will contain: the verification of the project or technical documentation to determine whether the applicable regulations have been adequately considered and the review of the necessary documents for the processing of licenses. Likewise, the Agreement considers that with the issuance of the Professional Intervention certificate, the identity and qualification of the project author, the professional competence of the author for the development of the work, as well as the professional qualification of the signing technician, and finally the existence of a civil liability policy that covers the professional's actions are guaranteed.</w:t>
      </w:r>
    </w:p>
    <w:p>
      <w:r>
        <w:t>For all these reasons, the Investigation Directorate considers that the relevant market for the purposes of this file is that of the provision of document, technical, and regulatory adaptation services, which is also referred to throughout this report as document management and regulatory adaptation services, as these services are the subject of the agreements signed by the FEMP with the CSCAE and the CGAAT. The DI highlights that this market is developing, as until recently, municipalities did not take this type of certificates into account when processing and obtaining municipal licenses, so they were not demanded by those interested in applying for them.</w:t>
      </w:r>
    </w:p>
    <w:p>
      <w:r>
        <w:t>3. Geographic market</w:t>
        <w:br/>
        <w:t>The subject of the agreements in this file falls within the scope of the competencies of the municipalities established in Article 25 of Law 7/1985, of April 2, Regulating the Bases of the Local Regime, in that the recognition of this type of certificates for the processing and obtaining of municipal licenses corresponds to the various municipal ordinances, regulatory normative instruments for obtaining municipal licenses. In principle, each municipal ordinance could establish different requirements and criteria, which could lead to distinguishing different relevant geographic areas for each local demarcation.</w:t>
      </w:r>
    </w:p>
    <w:p>
      <w:r>
        <w:t>However, to the extent that the content of the various municipal ordinances in this aspect may be similar, and since the agreements in this file are a recommendation from the FEMP to its associates, that is, to the municipalities associated with this entity and the Superior Councils of the Official Colleges of Architects, Technical Architects, Engineers, and Technical Engineers to their Territorial Colleges and, therefore, to their associates, in which the general principles that should be contained in the individual agreements and the municipal ordinances on this matter are collected, this Investigation Directorate understands that the relevant geographic area for the purposes of this file is national.</w:t>
      </w:r>
    </w:p>
    <w:p>
      <w:r>
        <w:t>C) ESTABLISHED FACTS.-</w:t>
        <w:br/>
        <w:t>The agreements signed and the projects in preparation between the FEMP and the four Professional Associations involved are described below.</w:t>
        <w:br/>
        <w:t>1 Framework collaboration agreement between the FEMP and the CSCAE to enable the incorporation of systems to improve procedures for the granting of municipal licenses.</w:t>
        <w:br/>
        <w:t>On April 17, 2009 (folios 283 to 290), the FEMP and the CSCAE signed a framework collaboration agreement in which the FEMP proposes "the adoption of a system recommended to its members that facilitates a joint procedure (through the various Architects' Associations and City Councils for obtaining an electronic visa for technical quality control of projects that are to be subject to administrative licenses of different types" (first provision).</w:t>
      </w:r>
    </w:p>
    <w:p>
      <w:r>
        <w:t>The so-called technical quality control visa is defined as "a control procedure carried out by the Colleges of Architects for the adequacy of a basic building project, and where applicable, of an activity project, to a set of parameters determined by the regulations applicable to the projects." The elements that make up this technical quality control visa are two: regulations and documentation. For its development and specification, the agreement of the FEMP and the CSCAE refers to the specific agreements that may be signed by each municipality and the corresponding College of Architects, without the adoption of the same being considered binding for the municipalities (third provision, point 2).</w:t>
      </w:r>
    </w:p>
    <w:p>
      <w:r>
        <w:t>Despite not considering the visa binding for the municipalities, the Agreement itself establishes the gradual implementation of the service, in such a way that it is "sufficiently significant to guarantee the analysis and optimization of the application procedure of this visa before the entry into force of the modifications to the municipal regulations on the granting of licenses." Therefore, although it is not binding for the municipalities, the framework agreement itself establishes as its purpose the implementation of the same via regulation as one of the mandatory elements for obtaining municipal licenses. In fact, the agreement itself establishes a voluntary application period (at least until the end of 2009), in which the architectural projects that can be subject to this visa are defined: architectural projects of new construction and major rehabilitation, whose main use is for housing, hotel, or offices, drafted by architects, allowing the possibility that in the future the various municipal bodies may expand the types of projects to which the technical quality control visa can accompany.</w:t>
      </w:r>
    </w:p>
    <w:p>
      <w:r>
        <w:t>The purpose of including this technical quality control visa in the procedures for granting licenses that are processed electronically, according to the</w:t>
      </w:r>
    </w:p>
    <w:p>
      <w:r>
        <w:rPr>
          <w:b/>
        </w:rPr>
        <w:t>[Pages 16–18]</w:t>
      </w:r>
    </w:p>
    <w:p>
      <w:r>
        <w:t>municipal licenses.</w:t>
        <w:br/>
        <w:t>The purpose of including this technical quality control visa in the procedures for granting licenses processed electronically, according to the agreement, is to allow for the verification of compliance with the project of the technical-normative parameters required by legislation in a single administrative act, for which "the aim is to link the telematic visa (which the Associations already offer as a service to their members) with the electronic license for citizens and promoters that some City Councils already use in their administrative process" (first provision, second paragraph).</w:t>
        <w:br/>
        <w:t>Along with the definition and scope of application of the technical quality control visa, the FEMP-CSCAE agreement also regulates the obligations of the city councils in each individual agreement they sign, as well as the obligations and responsibilities of the Architects' Associations.</w:t>
        <w:br/>
        <w:t>In this regard, point 4 of the third provision of the agreement establishes 6 obligations for the city councils:</w:t>
        <w:br/>
        <w:t>• Provide the Architects' Association with the urban planning regulations and ordinances necessary for compliance with the agreement</w:t>
        <w:br/>
        <w:t>• Issue the mandatory technical and legal reports in the license granting file, without the technical quality control visa being able to omit or replace these reports</w:t>
        <w:br/>
        <w:t>• Resolve license applications that include the technical quality control visa within a maximum period of two months from the receipt of the application</w:t>
        <w:br/>
        <w:t>• Allocate the necessary personal and material resources to expedite the processing of those projects that have the technical quality control visa</w:t>
        <w:br/>
        <w:t>• Promote, during the validity of the agreement, all means and efforts for the implementation of the technical quality control visa in order to achieve one-third of the total architectural projects with technical visa</w:t>
        <w:br/>
        <w:t>• Inform about the results obtained as a consequence of the application of this visa.</w:t>
        <w:br/>
        <w:t>Regarding the obligations of the Architects' Associations, the framework agreement establishes 4 obligations (third provision in point 5):</w:t>
        <w:br/>
        <w:t>• Adapt to the applicable technical regulations of the projects submitted to the technical quality control visa service, as well as the incorporation of the documentation requested</w:t>
        <w:br/>
        <w:t>• Decide on the issuance of the technical quality control visa within a maximum period of 10 business days from the entry of the application in the General Registry of the corresponding Association</w:t>
        <w:br/>
        <w:t>• Develop a functional procedure in collaboration with the technical services of the City Councils</w:t>
        <w:br/>
        <w:t>• Inform about the content and scope of the technical quality control visa</w:t>
        <w:br/>
        <w:t>Once the corresponding visa is issued, the respective Architects' Association will be technically and patrimonially responsible to the respective city council, through the means of repetition in case of deficiencies, errors, and imperfections that result in damages subject to the claim (for which the corresponding insurance policy will be established) and at the request of the city council, will issue a report in case of allegations related to the technical quality visa.</w:t>
        <w:br/>
        <w:t>This provision of responsibility of the corresponding Architects' Association is specified in clause three, point 3 of the agreement, determining that the Architects' Associations are not responsible for the veracity of the data submitted for the visa, this being a responsibility attributable to the architect or their client.</w:t>
        <w:br/>
        <w:t>The duration of the agreement is established for one year from its signing with automatic extensions of the same duration, and a mixed monitoring commission is created that must meet at least twice a year (sixth clause, folio 297). Furthermore, no economic regime is established for the provision of technical quality control services for obtaining municipal licenses in the signed Agreement.</w:t>
        <w:br/>
        <w:t>To disseminate the signing of this Agreement, the FEMP, in addition to publishing it on its website (folio 320), sent the signing of it to municipalities with more than 20,000 inhabitants with a template letter (folio 321) informing them that in case of interest for the municipality, they should contact the corresponding Official Architects' Association.</w:t>
        <w:br/>
        <w:t>The CSCAE disseminated the signed agreement with the FEMP through an email from its president directed to the territorial associations via the councilors (folio 999).</w:t>
        <w:br/>
        <w:t>On December 23, 2009, the Monitoring Commission of the framework agreement signed between the FEMP and the CSCAE met (folio 322) where, among other topics, the lack of follow-up that the agreement is having by the city councils and the commitment of the CSCAE to contact all Official Architects' Associations to convey the information they have on this matter were analyzed.</w:t>
        <w:br/>
        <w:t>2 Framework collaboration agreement between the FEMP and the CGAAT</w:t>
        <w:br/>
        <w:t>On December 16, 2009, the FEMP signed a framework collaboration agreement with the CGAAT (folios 307 to 314) that is very similar to the one signed with the CSCAE and developed in the previous point.</w:t>
        <w:br/>
        <w:t>As has been developed for the agreement with the CSCAE, the framework agreement signed between the FEMP and the CGAAT is configured as a system recommended by the FEMP to its members, facilitating a joint procedure for obtaining an electronic visa for technical quality control of projects of its members, which are to be subject to administrative licenses of different types, being mainly applicable, in the case of the CGAAT, to construction, activity, and occupancy projects (first provision).</w:t>
        <w:br/>
        <w:t>The elements that make up the visa (regulatory and documentary), as well as the fact that its specification will be developed by each individualized agreement between the city council and the corresponding territorial association, which can elevate this configuration to the rank of municipal ordinance, do not vary with respect to what has been developed in the framework agreement with the CSCAE.</w:t>
        <w:br/>
        <w:t>In this framework agreement, the 6 obligations reproduced in the previous section for the city councils (third clause point 4) and the 4 obligations for the Technical Architects' Associations (third clause point 5) are also developed, as well as the phase of voluntary application that in the case of the FEMP-CGAAT agreement is developed during the year 2010 (third clause, point 3).</w:t>
        <w:br/>
        <w:t>Although the framework agreement with the CGAAT established, just like the agreement with the CSCAE, the creation of a Mixed Monitoring Commission, it was never effectively constituted, and the only thing that was convened was an informal meeting on March 4, 2010, after the signing of the agreement, for which no minutes were taken (folios 1,037 and folio 2,002).</w:t>
        <w:br/>
        <w:t>To disseminate the signing of this agreement, the FEMP, in addition to posting it on its website, sent the signing of it to municipalities with more than 20,000 inhabitants with a template letter (folios 1,053 and 1,054), informing them that in case of interest for the municipality they should contact the corresponding Official Association of Technical Architects, the signing of the agreement was also disseminated in the FEMP magazine Carta Local No. 220, December 2009 (folio 1,052).</w:t>
        <w:br/>
        <w:t>On the part of the association, the president of the CGAAT distributed, on March 21, 2010, an official letter to all territorial associations in which the agreement signed with the FEMP was attached (folios 1,004 to 1,013).</w:t>
        <w:br/>
        <w:t>3. Draft framework collaboration agreement between the FEMP and the COGITI for the improvement of procedures for the granting of municipal licenses.</w:t>
        <w:br/>
        <w:t>Unlike what occurred in the two agreements developed in the previous points, in this case, the agreement was not signed between the FEMP and the COGITI, but the negotiations led to a draft agreement dated March 8, 2010 (folios 1,066 to 1,076).</w:t>
        <w:br/>
        <w:t>The structure of this draft does not differ from that used in the two previous agreements.</w:t>
        <w:br/>
        <w:t>Thus, the object established in the draft agreement was, like the previous ones, the adoption by the FEMP of a system recommended to its members that facilitated a joint procedure through the Official Associations of Industrial Technical Engineers and the city councils for obtaining a documentary, technical verification and compliance with the applicable regulations for municipal licenses.</w:t>
      </w:r>
    </w:p>
    <w:p>
      <w:r>
        <w:rPr>
          <w:b/>
        </w:rPr>
        <w:t>[Pages 19–21]</w:t>
      </w:r>
    </w:p>
    <w:p>
      <w:r>
        <w:t>procedure for the imposition of sanctions.</w:t>
      </w:r>
    </w:p>
    <w:p>
      <w:r>
        <w:t>projects and other technical works that are to be subject to administrative licenses of different types under the jurisdiction of the local Administration (first provision).</w:t>
        <w:br/>
        <w:t>The services regulated by this draft (third provision, points 1 and 2) would consist of a control procedure carried out by the territorial colleges regarding the adequacy of the projects and other technical works of industrial buildings that would be subject to municipal activity licenses, to a set of parameters determined by the applicable regulations for the projects and other technical works.</w:t>
        <w:br/>
        <w:t>In the case of this draft agreement, a broader scope of application than that of electronic municipal licenses is expressly included. Furthermore, a voluntary application period is established that does not differ essentially from those regulated in other agreements of similar content.</w:t>
        <w:br/>
        <w:t>The draft agreement also does not differ from what has already been analyzed for the agreements signed with the CSCAE and the CGAAT regarding the obligations of the municipalities and the territorial Colleges that wish to adhere to the agreement.</w:t>
        <w:br/>
        <w:t>The main difference between this draft agreement and those previously signed by the FEMP is the detailed specification of a set of activities to which the new certificate in Annex I (folios 333 and 334) of the same would apply, corresponding to activities typical of the members of industrial technical engineering.</w:t>
        <w:br/>
        <w:t>4. Framework collaboration agreement between the FEMP and the CGCOII</w:t>
        <w:br/>
        <w:t>On December 15, 2010, the FEMP and the CGCOII signed a framework collaboration agreement (folios 818 to 824).</w:t>
        <w:br/>
        <w:t>This collaboration agreement, like those signed with the CSCAE and CGAAT, has as its main objective, as expressed in its first provision, to define a framework of collaboration between the FEMP and the CGCOII, which enables individualized collaboration agreements of the Official Colleges of Industrial Engineers with the municipalities associated with said Federation that express their intention within their jurisdiction (first provision).</w:t>
        <w:br/>
        <w:t>Explicitly, the agreement proposes "the advisability of recommending a model Collaboration Agreement, to be signed between the Municipalities and the Official Colleges of Industrial Engineers." (Fourth Recital).</w:t>
        <w:br/>
        <w:t>Through this agreement, a new figure is created within the documentation that may be attached to municipal licenses: the certificate of professional intervention, the content of which is determined in the third provision of the agreement and does not significantly differ from the certificates established in the previous agreements that are also the subject of this file.</w:t>
        <w:br/>
        <w:t>Unlike the agreements previously analyzed that the FEMP had signed or negotiated with other councils of Professional Colleges, in the case of the agreement with the CGCOII, there are certain particularities that allow the framework agreement to adapt to the literal regulatory requirements of the Royal Decree on mandatory visas that would come into effect days after the signing of the agreement.</w:t>
        <w:br/>
        <w:t>Thus, firstly, the framework agreement configures the new certificate as voluntary for professionals or clients who request it from the Official Colleges of Industrial Engineers, even when the administration acts as a client (second provision).</w:t>
        <w:br/>
        <w:t>Secondly, the subscription by the municipalities to the framework agreement is regulated through the inclusion in it of a model collaboration agreement (Annex I of the framework agreement, folios 1042 to 1048) that may be signed by the municipality and the corresponding Official College of Industrial Engineers (second provision, point 2 of the framework agreement).</w:t>
        <w:br/>
        <w:t>It is in the model agreement where the obligations of the municipalities and the official colleges are developed, as well as the scope of this collaboration instrument.</w:t>
        <w:br/>
        <w:t>Among the provisions regarding the scope of the certificate of professional intervention, the model agreement determines the content of the certificate (second provision, point 1), as well as the support of the official college to study proposals aimed at improving the licensing system and the preferential use of a telematic system between the parties, which allows for the receipt and deposit of technical projects (second provision, points 2 and 3 respectively).</w:t>
        <w:br/>
        <w:t>The obligations of the municipalities and the Official College of Industrial Engineers are developed in the third and fourth provisions of the model agreement.</w:t>
        <w:br/>
        <w:t>Unlike what is established in previous agreements, in these cases, the municipality only commits to:</w:t>
        <w:br/>
        <w:t>• Provide the Official College with the corresponding regulations and background that may be requested;</w:t>
        <w:br/>
        <w:t>• Recognize this certificate of professional intervention, without prejudice to the existence and recognition of other certificates that fulfill the same purpose;</w:t>
        <w:br/>
        <w:t>• Study the reform proposals in procedures that may be sent by the Official College.</w:t>
        <w:br/>
        <w:t>The obligations and responsibilities assumed by the Official College that signs the model agreement do not differ essentially from those already developed for other Official Colleges, except in two points: the first is the maximum period for issuing the certificate, which, in this case, is established between 15 and 60 working days depending on the nature of the works to be carried out; and, secondly, the mention of the cost of the certificate made in the last point of the fourth provision of the model agreement, which establishes that it "will not be abusive or discriminatory."</w:t>
        <w:br/>
        <w:t>Both the FEMP and the CGCOII commit to disseminate and promote the signing of the agreement between municipalities and official colleges, as well as to collaborate in all matters related to industrial engineering (fourth and fifth provisions of the framework agreement) and to create, as in previous agreements, a monitoring committee (sixth provision) that was never constituted (folios 1,014 and 1,038).</w:t>
        <w:br/>
        <w:t>To publicize the signing of the signed agreement, the FEMP published a link to the agreements of the Executive Commission of November 30, 2010, on its website (folio 1037), while the CGCOII delivered it to its deans for approval, but it was not disseminated as it was rescinded in March 2011 (folio 1,004).</w:t>
        <w:br/>
        <w:t>LEGAL GROUNDS</w:t>
        <w:br/>
        <w:t>FIRST.- Object and Legal Basis. The Council must decide in this file whether, in accordance with the proposal of the Investigation Directorate (DI), the analyzed behaviors fall under the prohibition of Article 1 of the LDC and, in that case, whether the proposed commitments resolve the competition problems in the terms provided by the LDC, in order to proceed with the Conventional Termination of the procedure.</w:t>
        <w:br/>
        <w:t>Article 52 of Law 15/2007 of July 3, on the Defense of Competition, relating to the Conventional Termination of the sanctioning procedure, provides in its first paragraph that, "the Council of the National Competition Commission, at the proposal of the Investigation Directorate, may resolve the termination of the sanctioning procedure regarding prohibited agreements and practices when the alleged offenders propose commitments that resolve the effects on competition derived from the behaviors subject to the file and sufficiently guarantee the public interest." Such termination of the sanctioning procedure is only possible prior to the formulation of the Proposal for Resolution by the DI, as provided in the third paragraph of the same article, "the termination of the procedure in the terms established in this article may not be agreed once the proposal report provided for in Article 50.4 has been raised."</w:t>
        <w:br/>
        <w:t>And the second paragraph of the same article provides that, "the commitments will be binding and will take full effect once incorporated into the resolution that concludes the procedure."</w:t>
        <w:br/>
        <w:t>For its part, the Competition Defense Regulation approved by Royal Decree 261/2008, of February 22, in its article 39 develops the terms in which the provisions of the aforementioned legal precept will be carried out and in its point 7 provides that, "The non-compliance with the resolution that concludes the procedure through conventional termination will be considered a very serious infringement in accordance with the provisions of article 62.4.c) of Law 15/2007, of July 3, which may also determine the imposition of coercive fines in accordance with the provisions of article 67 of the Law on the Defense of Competition and article 21 of this Regulation, as well as, where appropriate, the opening of a procedure for the imposition of sanctions.</w:t>
      </w:r>
    </w:p>
    <w:p>
      <w:r>
        <w:rPr>
          <w:b/>
        </w:rPr>
        <w:t>[Pages 22–24]</w:t>
      </w:r>
    </w:p>
    <w:p>
      <w:r>
        <w:t>expedient for infringement of Articles 1, 2, or 3 of Law 15/2007, of July 3.”</w:t>
      </w:r>
    </w:p>
    <w:p>
      <w:r>
        <w:t>SECOND.- Assessment made by the DI of the analyzed behaviors. Considering the content related to the provision of documentary verification and regulatory compliance services derived from the drafting of the agreements subject to this file, the Investigation Directorate considers that these agreements regulate a market constituted by the provision to interested parties of services for documentary, technical, and regulatory organization, aimed at the processing of municipal licenses, whose contracting is in principle voluntary, unless otherwise established in the applicable municipal ordinances. According to the DI, the exact content of each of the documentary verification and regulatory compliance services may vary, with the technical quality control visa being a procedure for documentary and regulatory verification, while in the case of the FEMP-COGITI and FEMP-CGCOII agreements, technical elements are already beginning to be incorporated into the certificates or visas to be issued by the official associations.</w:t>
      </w:r>
    </w:p>
    <w:p>
      <w:r>
        <w:t>These types of services are provided independently of the issuance of the mandatory professional visa that any project designer is obliged to present in the procedures for obtaining municipal licenses subject to the agreements, so there is no reduction in the activities inherent to the associations with the implementation of the new services. Just as these new services do not diminish the obligation to issue the professional visa in those cases where the regulations so establish, the Investigation Directorate understands that the new services also do not incorporate data or elements solely within the reach of the Professional Associations in the exercise of their own functions, which would prevent third parties from providing these same services.</w:t>
      </w:r>
    </w:p>
    <w:p>
      <w:r>
        <w:t>The demand for these services would be composed of all those professionals or interested parties who wish to voluntarily submit the certificates subject to these agreements. As derived from the content of the analyzed agreements, those who request this voluntary documentation will benefit from a reduction in the processing times of municipal licenses in those municipalities where an individual agreement has been signed.</w:t>
      </w:r>
    </w:p>
    <w:p>
      <w:r>
        <w:t>The offer would be composed not only of the competent Professional Associations by reason of the subject matter but also of any entity that gathers the competent professionals to assess regulatory, technical, and documentary compliance, that is, the parameters that the municipalities consider necessary for the submission of this type of certificates.</w:t>
      </w:r>
    </w:p>
    <w:p>
      <w:r>
        <w:t>In light of the provisions of Article 1 of the LDC, which prohibits “any agreement, decision, or collective recommendation, or concerted or consciously parallel practice, that has the object, produces, or may produce the effect of preventing, restricting, or distorting competition in all or part of the national market...,” the DI analyzes the agreements signed between the FEMP and the associations and makes the following assessment of them:</w:t>
      </w:r>
    </w:p>
    <w:p>
      <w:r>
        <w:t>(148) In this case, we are faced with agreements negotiated between the FEMP and the General Councils of the Associations of Architects, Technical Architects, Industrial Engineers, and Technical Industrial Engineers that introduce a new element for obtaining municipal licenses and that, in turn, give rise to a system recommended by the FEMP for the municipalities that are associated with this entity, in relation to the regulation of documentary verification and regulatory compliance services within the framework of the processing and obtaining of municipal licenses.</w:t>
      </w:r>
    </w:p>
    <w:p>
      <w:r>
        <w:t>V.1 Scope of the collaboration agreements of the FEMP and the various Superior Councils of Associations</w:t>
      </w:r>
    </w:p>
    <w:p>
      <w:r>
        <w:t>(149) As already stated when analyzing the regulatory framework of the professional visa, the documentary organization and regulatory compliance services that have been subject to regulation by the agreements subject to this file are not included within the concept of the mandatory professional visa, but correspond to additional visas or certificates, supposedly voluntary, whose use could be incentivized by local entities.</w:t>
      </w:r>
    </w:p>
    <w:p>
      <w:r>
        <w:t>(150) Both the FEMP (see, among others, folio 296) and the various Superior Councils of Associations (see, for example, in the case of the CSCAE folio 282, in the case of COGITI folio 805, or in the case of CGAAT folio 1187), as well as the provisions contained in the various agreements subject to this file, justify the negotiation of these collaboration agreements based on what is provided in the fifth additional provision of the Law of Professional Associations.</w:t>
      </w:r>
    </w:p>
    <w:p>
      <w:r>
        <w:t>(151) As previously reproduced in the section dedicated to the market affected by the agreements subject to the reference file, the aforementioned provision establishes under the heading “Authority for documentary control of Public Administrations” the following: “What is provided in this Law does not affect the capacity that Public Administrations have, in the exercise of their organizational autonomy and within the scope of their competencies, to decide on a case-by-case basis for better compliance with their functions, to establish agreements with Professional Associations or other entities or to contract the services of documentary, technical, or compliance verification that they consider necessary regarding professional work.”</w:t>
      </w:r>
    </w:p>
    <w:p>
      <w:r>
        <w:t>(152) In relation to this issue, this Investigation Directorate agrees that municipalities can negotiate and sign collaboration agreements with different entities for the provision of services that are the subject of this file, as established by the aforementioned regulations.</w:t>
      </w:r>
    </w:p>
    <w:p>
      <w:r>
        <w:t>(153) However, the fact that the specific regulations allow for the negotiation and signing of the aforementioned agreements cannot be used as an argument by the parties to violate the provisions established in the LDC, especially when, as previously highlighted, the visas or certificates created or established by the aforementioned agreements are not covered by the professional reserve that the regulations attribute to the cases specified in Article 2 of Royal Decree 1000/2010.</w:t>
      </w:r>
    </w:p>
    <w:p>
      <w:r>
        <w:t>(154) Furthermore, this Investigation Directorate considers that the FEMP does not fall within the concept of Public Administration as provided in the Law of Professional Associations and in Royal Decree 1000/2010, but rather it is configured as an Association of Public Utility whose activity regime is determined through its Statutes and, therefore, the provisions established for the local entities that compose it in the aforementioned sectorial legislation do not apply to it.</w:t>
      </w:r>
    </w:p>
    <w:p>
      <w:r>
        <w:t>(155) For all these reasons, this Investigation Directorate considers that the agreements between the FEMP and the Superior Councils of Associations are not covered by what is provided in the fifth additional provision of the Law of Professional Associations and that the development of the content of the aforementioned agreements is also not covered by a legal norm, so the content of these agreements or collective recommendations must respect what is established by Article 1 of the LDC.</w:t>
      </w:r>
    </w:p>
    <w:p>
      <w:r>
        <w:t>V.2 FEMP-CSCAE Agreement</w:t>
      </w:r>
    </w:p>
    <w:p>
      <w:r>
        <w:t>(156) The agreement signed between the FEMP and the CSCAE establishes that the technical quality control visa will apply to architectural projects of new construction and major rehabilitation, whose main use is housing, hotel, or offices drafted by architects.</w:t>
      </w:r>
    </w:p>
    <w:p>
      <w:r>
        <w:t>(157) Furthermore, the agreement itself states in its first provision that what is intended through the creation of this visa is “to link the telematic visa (which the Associations already offer as a service to their members) connecting it with the electronic license for citizens and promoters that some municipalities already use in their administrative process.”</w:t>
      </w:r>
    </w:p>
    <w:p>
      <w:r>
        <w:t>(158) As has been demonstrated, although the agreement initially seems to refer to the obtaining of electronic licenses, this Investigation Directorate considers that it can be deduced from it that the use of this technical quality control visa would not be limited solely to these licenses, but could be included in any type of municipal license in which the intervention of the Official Associations of Architects is required, through its inclusion in municipal ordinances.</w:t>
      </w:r>
    </w:p>
    <w:p>
      <w:r>
        <w:t>(159) Finally, the agreement itself establishes a reservation in favor of the Official Associations to which the signing municipality belongs, thus not allowing professionals or citizens to obtain a certificate recognized by the municipality before which the license is requested outside the Official Association with which the local entity has signed the collaboration agreement.</w:t>
      </w:r>
    </w:p>
    <w:p>
      <w:r>
        <w:rPr>
          <w:b/>
        </w:rPr>
        <w:t>[Pages 25–27]</w:t>
      </w:r>
    </w:p>
    <w:p>
      <w:r>
        <w:t>(160) For all these reasons, this Investigation Directorate considers that the collaboration agreement signed between the FEMP and the CSCAE establishes an exclusion in the provision of the service called technical quality control visa, to all entities that are not Official Associations of Architects located in the territorial demarcation where the City Council with which the collaboration agreement has been signed is situated.</w:t>
      </w:r>
    </w:p>
    <w:p>
      <w:r>
        <w:t>(161) This exclusion must apply both to other Official Associations of professions different from that of architect, as well as to private certification entities and Official Associations of Architects that have not signed an agreement with the City Council where the technical quality visa is presented.</w:t>
      </w:r>
    </w:p>
    <w:p>
      <w:r>
        <w:t>(162) Both the FEMP and the CSCAE in their allegations to the initiation established that the framework agreement did not prevent each City Council from signing agreements with other entities or recognizing the provision of the services subject to the quality visa to entities other than the Official Associations of Architects.</w:t>
      </w:r>
    </w:p>
    <w:p>
      <w:r>
        <w:t>(163) However, in the opinion of this Investigation Directorate, the fact that the activities subject to quality visa (new architectural projects or major rehabilitation for use as housing, hotels, or offices) and the fact that the agreement itself links them to the Professional Association that must issue the visa, in accordance with Article 2 of Royal Decree 1000/2010 and to the electronic visa that these Associations have been providing to their members, allows us to conclude that this agreement could be recommending and fostering a de facto reservation of the provision of documentary verification and regulatory compliance services within the framework of the processing and obtaining of certain categories of municipal licenses to the Official Associations of Architects.</w:t>
      </w:r>
    </w:p>
    <w:p>
      <w:r>
        <w:t>(164) Furthermore, the framework agreement goes a step further, establishing not only the exclusion of any entity, whether or not it is a Professional Association, but also of the Official Associations of Architects that have not signed a collaboration agreement with the City Council where the technical quality visa is presented.</w:t>
      </w:r>
    </w:p>
    <w:p>
      <w:r>
        <w:t>(165) This situation is reinforced considering that the framework agreement establishes that the City Councils will be responsible to the Associations of Architects and that, in its dissemination, both the FEMP and the CSCAE established that the City Councils wishing to adhere to the framework agreement signed between the two entities should address the Architects' Association in their area and the City Councils in their area, respectively.</w:t>
      </w:r>
    </w:p>
    <w:p>
      <w:r>
        <w:t>(166) For all these reasons, this Investigation Directorate considers that the Agreement signed by the FEMP and the CSCAE on April 17, 2009, could be contrary to Article 1.1 of the LDC to the extent that its application could exclude from the provision of documentary verification and regulatory compliance services within the framework of the processing and obtaining of certain categories of municipal licenses any entity that is not the territorially designated Official Association of Architects.</w:t>
      </w:r>
    </w:p>
    <w:p>
      <w:r>
        <w:t>(167) Likewise, this Investigation Directorate believes that the conditions for applying the exemption provided in Article 1.3 of the LDC to this agreement are not met, to the extent that the activity reservation fostered by it is a restriction on competition that goes beyond what is necessary to promote improvements in the processing of administrative files related to municipal licenses.</w:t>
      </w:r>
    </w:p>
    <w:p>
      <w:r>
        <w:t>(168) In particular, this Investigation Directorate understands that there is no objective justification for the services of documentary verification and regulatory compliance not to be provided by all types of entities, whether collegial or private, in all categories of municipal licenses, provided that the provider of these services justifies compliance with minimum requirements that may be established by the City Councils.</w:t>
      </w:r>
    </w:p>
    <w:p>
      <w:r>
        <w:t>V.3 FEMP-CGAAT Agreement</w:t>
      </w:r>
    </w:p>
    <w:p>
      <w:r>
        <w:t>(169) The assessment that this Investigation Directorate can make of the collaboration agreement signed between the FEMP and the CGAAT on December 16, 2009, is no different from that made in the previous point for the agreement signed between the FEMP and the CSCAE.</w:t>
      </w:r>
    </w:p>
    <w:p>
      <w:r>
        <w:t>(170) In this agreement, the activity reservation is established in the first provision by determining that the technical quality control visa that could be issued by the Official Associations of Quantity Surveyors and Technical Architects would primarily apply to construction, activity, and occupancy licenses, for which it would seek to link the telematic visa with the electronic license.</w:t>
      </w:r>
    </w:p>
    <w:p>
      <w:r>
        <w:t>(171) As previously established for the FEMP-CSCAE agreement, this Investigation Directorate considers that, although initially the quality control visa would be reserved for use in telematic procedures, the exact content of the agreement can be inferred to extend the use of the visa to any form of processing of the municipal licenses established in the framework agreement.</w:t>
      </w:r>
    </w:p>
    <w:p>
      <w:r>
        <w:t>(172) All these exclusions, as well as the provision to promote the transfer of what is established in the framework agreement to municipal ordinances and the method of dissemination used to inform the members of the FEMP and the members of the CGAAT, allow this Investigation Directorate to consider, in a manner analogous to that expressed in the previous point, that this agreement could be recommending and fostering a de facto reservation in favor of the Official Association of Quantity Surveyors and Technical Architects territorially located in the geographical area where each City Council is situated, for the provision of documentary verification and regulatory compliance services within the framework of the processing and obtaining of certain categories of municipal licenses.</w:t>
      </w:r>
    </w:p>
    <w:p>
      <w:r>
        <w:t>(173) For all these reasons, this Investigation Directorate considers that the Agreement signed by the FEMP and the CGAAT on December 16, 2009, could be contrary to Article 1.1 of the LDC to the extent that it could exclude from the provision of documentary verification and regulatory compliance services within the framework of the processing and obtaining of certain categories of municipal licenses any entity that is not the territorially designated Official Association of Quantity Surveyors and Technical Architects.</w:t>
      </w:r>
    </w:p>
    <w:p>
      <w:r>
        <w:t>(174) Likewise, this Investigation Directorate believes that the conditions for applying the exemption provided in Article 1.3 of the LDC to this agreement are not met, to the extent that the activity reservation fostered by it is a restriction on competition that goes beyond what is necessary to promote improvements in the processing of administrative files related to municipal licenses.</w:t>
      </w:r>
    </w:p>
    <w:p>
      <w:r>
        <w:t>(175) In particular, this Investigation Directorate understands that there is no objective justification for the services of documentary verification and regulatory compliance not to be provided by all types of entities, whether collegial or private, in all categories of municipal licenses, provided that the provider of these services justifies compliance with minimum requirements that may be established by the City Councils.</w:t>
      </w:r>
    </w:p>
    <w:p>
      <w:r>
        <w:t>V.4 Draft Agreement between the FEMP and the COGITI</w:t>
      </w:r>
    </w:p>
    <w:p>
      <w:r>
        <w:t>(176) Prior to the assessment of the content of the draft agreement between the FEMP and the COGITI, this Investigation Directorate considers it necessary to respond to the allegation presented by the COGITI regarding the non-existence of an infringement for not having signed any agreement.</w:t>
      </w:r>
    </w:p>
    <w:p>
      <w:r>
        <w:t>(177) This Investigation Directorate considers, contrary to what the COGITI indicates, that the draft framework agreement that had been established between the two entities evidences that there had been a concertation of wills between both to apply and recommend what is included in the draft agreement.</w:t>
      </w:r>
    </w:p>
    <w:p>
      <w:r>
        <w:t>(178) In fact, there are two agreements in the file: one of them, the one alleged by the COGITI, and a second (folios 1066 to 1076), submitted after the initiation by the FEMP in which both the expected date for its signing (March 8, 2010) and the identity of the signing parties: the presidents of the FEMP and the COGITI are already included.</w:t>
      </w:r>
    </w:p>
    <w:p>
      <w:r>
        <w:t>(179) Thus, with the mere preparation of the draft agreement, an infringement of Article 1.1 of the LDC could occur, to the extent that the FEMP and COGITI would be concerting a series of practices and recommendations that could be restrictive by their object, without the need for them to be effectively implemented.</w:t>
      </w:r>
    </w:p>
    <w:p>
      <w:r>
        <w:t>(180) In this regard, the practice of national and community competition authorities and the jurisprudence establish a broad concept of restrictive agreements on competition, which does not require that the concertation of wills be reflected in a signed contract or agreement. Otherwise, there would be a significant risk of emptying Article 1 of the LDC of its content, to the extent that its application would be avoided simply by not formalizing the agreement.</w:t>
      </w:r>
    </w:p>
    <w:p>
      <w:r>
        <w:rPr>
          <w:b/>
        </w:rPr>
        <w:t>[Pages 28–30]</w:t>
      </w:r>
    </w:p>
    <w:p>
      <w:r>
        <w:t xml:space="preserve">(181) Notwithstanding the above, the fact that it has not been proven that the agreement between the FEMP and COGITI has been signed or disseminated would be a factor to consider when assessing the effects of this agreement.  </w:t>
        <w:br/>
        <w:t xml:space="preserve">(182) The analysis of this draft agreement together with the agreements signed by the FEMP with other professional councils has allowed this Investigation Directorate to consider that there may have been a strategy by the FEMP and the professional councils involved in this file, to promote and recommend a de facto reservation of the provision of document management and regulatory compliance services within the framework of the processing and obtaining of certain categories of municipal licenses, in favor of different Associations, by reason of subject matter and territory.  </w:t>
        <w:br/>
        <w:t xml:space="preserve">(183) Like the agreements analyzed previously, the purpose of this draft agreement is to establish a recommended system that would facilitate a joint procedure for obtaining a documentary, technical, and compliance verification with the applicable regulations, within the framework of the processing and obtaining of certain categories of building licenses and activity licenses granted by the City Councils within their area of competence.  </w:t>
        <w:br/>
        <w:t xml:space="preserve">(184) To this end, as had been done with other agreements signed by the FEMP, the link of the new services was established, preferably with the municipal electronic license in the matters subject to the agreement.  </w:t>
        <w:br/>
        <w:t xml:space="preserve">(185) The assessment that this Investigation Directorate can make of the draft agreement between the FEMP and COGITI is the same as that established for the two previous agreements.  </w:t>
        <w:br/>
        <w:t xml:space="preserve">(186) Thus, the activities covered by the draft framework agreement are specifically developed in Annex I of the aforementioned agreement and are those in which the Colleges of Technical Industrial Experts and Engineers develop their own area of activity with professional reserve.  </w:t>
        <w:br/>
        <w:t xml:space="preserve">(187) Alongside this, as in the previous cases, the framework agreement refers to the signing of individualized agreements between each City Council and the competent Official College by reason of territoriality.  </w:t>
        <w:br/>
        <w:t xml:space="preserve">(188) Therefore, this Investigation Directorate considers that the draft agreement between the FEMP and COGITI, particularly its version of March 8, 2010, could be contrary to Article 1.1 of the LDC in that it may aim to exclude from the provision of document verification and regulatory compliance services within the framework of the processing and obtaining of certain categories of municipal licenses any entity other than the territorially designated Official College of Technical Industrial Experts and Engineers.  </w:t>
        <w:br/>
        <w:t xml:space="preserve">(189) As in the previous cases, this Investigation Directorate believes that the conditions for applying the exemption provided in Article 1.3 of the LDC to this draft agreement are not met, in that the activity reservation promoted by it is a restriction on competition that goes beyond what is necessary to promote improvements in the processing of administrative files related to municipal licenses.  </w:t>
        <w:br/>
        <w:t xml:space="preserve">(190) In particular, this Investigation Directorate understands that there is no objective justification for the document verification and regulatory compliance services not to be provided by all types of entities, whether collegial or private, in all categories of municipal licenses, provided that the provider of these services justifies compliance with minimum requirements that may be established by the City Councils.  </w:t>
        <w:br/>
        <w:t xml:space="preserve">V.5 FEMP-CGCOII Agreement  </w:t>
        <w:br/>
        <w:t xml:space="preserve">(191) The agreement signed between the FEMP and the CGCOII on December 15, 2010, is the one that most differs in its content from the previous agreements.  </w:t>
        <w:br/>
        <w:t xml:space="preserve">(192) In this agreement, references to the establishment of a joint procedure for linking the electronic visa to municipal licenses no longer appear, but it is regulated as a system of institutional collaboration between City Councils and the Official Colleges of Engineers for the establishment of the so-called professional intervention certificate, in which the entities that subscribe to it will collaborate "in the scope of the projects of their competence."  </w:t>
        <w:br/>
        <w:t xml:space="preserve">(193) However, the assessment that this Investigation Directorate can make of it is analogous to those made previously.  </w:t>
        <w:br/>
        <w:t xml:space="preserve">(194) This is because the model agreement that accompanies the framework agreement establishes a system that, if applied, could produce a limitation of access to other entities different from the signing Official College to the provision of this type of services.  </w:t>
        <w:br/>
        <w:t xml:space="preserve">(195) Thus, the second provision of the model agreement determines that those professionals integrated into the territorially designated Official College of Industrial Engineers and signatory of the agreement with the City Council processing the license may voluntarily request the new certificate from that Official College (and not from another). In this way, through these agreements, a de facto reservation of activity in the provision of document verification and regulatory compliance services within the framework of the processing and obtaining of certain categories of municipal licenses is also recommended and promoted.  </w:t>
        <w:br/>
        <w:t xml:space="preserve">(196) In conclusion, this Investigation Directorate considers that the agreement signed by the FEMP and the CGCOII on December 15, 2010, could be contrary to Article 1.1 of the LDC in that it could exclude from the provision of document verification and regulatory compliance services within the framework of the processing and obtaining of certain categories of municipal licenses any entity other than the territorially designated Official College of Industrial Engineers.  </w:t>
        <w:br/>
        <w:t xml:space="preserve">(197) Likewise, this Investigation Directorate believes that the conditions for applying the exemption provided in Article 1.3 of the LDC to this agreement are not met, in that the activity reservation promoted by it is a restriction on competition that goes beyond what is necessary to promote improvements in the processing of administrative files related to municipal licenses.  </w:t>
        <w:br/>
        <w:t xml:space="preserve">(198) In particular, this Investigation Directorate understands that there is no objective justification for the document verification and regulatory compliance services not to be provided by all types of entities, whether collegial or private, in all categories of municipal licenses, provided that the provider of these services justifies compliance with minimum requirements that may be established by the City Councils.  </w:t>
        <w:br/>
        <w:t xml:space="preserve">THIRD.- The commitments. The commitments presented to the Investigation Directorate by the FEMP and subscribed by the rest of the defendants, which in its consolidated version dated July 12, 2011, is attached as Annex I of this Resolution, are as follows:  </w:t>
        <w:br/>
        <w:t xml:space="preserve">a) Termination of the signed agreements.  </w:t>
        <w:br/>
        <w:t xml:space="preserve">On January 25, 2011, the Executive Commission of the FEMP, "to avoid any possible regulatory infringement in relation to the Law on Defense of Competition from which significant sanctions could arise," agreed to propose the termination of the agreements that had been signed between the FEMP and the Superior Councils of Colleges of Architects, Technical Architects, and Industrial Engineers.  </w:t>
        <w:br/>
        <w:t xml:space="preserve">On March 23, 2011, the agreement signed between the FEMP and the CGCOII was terminated, on March 24 the agreement signed between the FEMP and the CSCAE was terminated, and finally, on April 14, 2011, the agreement for the termination of the agreement signed with the CGAAT was subscribed.  </w:t>
        <w:br/>
        <w:t xml:space="preserve">Additionally, the FEMP has committed to terminate all agreements with similar or analogous content to those that have been the subject of this file that may have been signed, although it has not identified any additional agreement to those mentioned above.  </w:t>
        <w:br/>
        <w:t xml:space="preserve">b) Transfer and publication of the terms of the Conventional Termination  </w:t>
        <w:br/>
        <w:t xml:space="preserve">The FEMP offers the commitment to communicate to all its members, that is, city councils, provincial councils, councils, cabildos, and territorial federations integrated into the Territorial Council, the terms of the Conventional Termination.  </w:t>
        <w:br/>
        <w:t>For this dissemination, the FEMP, once the Council of the CNC resolves the Conventional Termination of the file, will proceed to communicate it through a press release disseminated to all press agencies (according to the model established in folio 1.191 of the file) in which it would clearly establish both that the agreements subject to this file have been terminated and the commitment to refrain from signing agreements with analogous or similar content in the future. Additionally, the FEMP includes in this draft press release the</w:t>
      </w:r>
    </w:p>
    <w:p>
      <w:r>
        <w:rPr>
          <w:b/>
        </w:rPr>
        <w:t>[Pages 31–33]</w:t>
      </w:r>
    </w:p>
    <w:p>
      <w:r>
        <w:t>the CNC Council regarding the aforementioned agreements.</w:t>
      </w:r>
    </w:p>
    <w:p>
      <w:r>
        <w:t>Additionally, the FEMP plans to include the operative part of the Resolution of the CNC Council and the Agreement adopted by the Executive Committee of the FEMP on July 11, 2011, in the magazine "Carta Local" and in the legal publication "Cuadernos."</w:t>
      </w:r>
    </w:p>
    <w:p>
      <w:r>
        <w:t>Furthermore, the commitments of the FEMP foresee dissemination through the website, for a prudent and sufficient time to ensure broad awareness, and by sending to all FEMP members, both the text of the commitments adopted by the Executive Committee of the FEMP on July 11, 2011, and the operative part of the Resolution of Conventional Termination of the CNC Council.</w:t>
      </w:r>
    </w:p>
    <w:p>
      <w:r>
        <w:t>c) Future Abstention</w:t>
      </w:r>
    </w:p>
    <w:p>
      <w:r>
        <w:t>Finally, the FEMP commits to not signing in the future "Agreements or Agreements with the Superior or General Councils of Associations that have similar or analogous content to those that have been the subject of file S/0235/10, particularly regarding the procedures for obtaining municipal licenses."</w:t>
      </w:r>
    </w:p>
    <w:p>
      <w:r>
        <w:t>In summary, and as stated by the DI in its proposal to the Council, in compliance with these commitments, the FEMP is obliged to:</w:t>
      </w:r>
    </w:p>
    <w:p>
      <w:r>
        <w:t>1. Resolve the agreements signed with the Superior Council of the Colleges of Architects of Spain, the General Council of Official Associations of Surveyors and Technical Architects, and the General Council of Colleges of Industrial Engineers.</w:t>
      </w:r>
    </w:p>
    <w:p>
      <w:r>
        <w:t>2. Proceed within one month following the notification of the Resolution of the Council to disseminate the content of the conventional termination and the Resolution of the Council through the following means: press release; direct communication to its members; publication on its website, specifically on the homepage, and in the sections on commissions, agreements, and best practices; and, finally, publication in the magazines "Carta Local" and "Cuadernos."</w:t>
      </w:r>
    </w:p>
    <w:p>
      <w:r>
        <w:t>3. Proceed to terminate all agreements related to the processing of municipal licenses that it may have signed with other entities with content and limitations analogous to those of the agreements and agreements that are the subject of this file.</w:t>
      </w:r>
    </w:p>
    <w:p>
      <w:r>
        <w:t>4. Abstain in the future from signing new collaboration agreements with similar or analogous content to those analyzed in this file that could be contrary to the LDC.</w:t>
      </w:r>
    </w:p>
    <w:p>
      <w:r>
        <w:t>FOURTH.- Assessment made by the DI of the commitments. The DI makes the following legal assessment, on which it bases its proposal for Conventional Termination, in relation to the commitments presented by the parties to resolve the competition issues arising from the analyzed conduct:</w:t>
      </w:r>
    </w:p>
    <w:p>
      <w:r>
        <w:t>(210) The Agreement for Conventional Termination provided for in Article 52 of the LDC and in Article 39 of the RDC constitutes an atypical mode of termination through which the administrative procedure is concluded, specifically within the framework of a sanctioning file.</w:t>
      </w:r>
    </w:p>
    <w:p>
      <w:r>
        <w:t>(211) As indicated by the LDC, this termination of the sanctioning procedure regarding prohibited agreements and practices requires that the proposal of commitments by the alleged offenders resolves the effects on competition arising from the conduct subject to the file and sufficiently guarantees the public interest.</w:t>
      </w:r>
    </w:p>
    <w:p>
      <w:r>
        <w:t>(212) The commitments of the conventional termination must be of such nature that they resolve the anticompetitive situation subject to the sanctioning file in question, so that guarantees must be established regarding the future behavior of the alleged offenders and mitigate or resolve the harmful effects of the alleged anticompetitive conduct.</w:t>
      </w:r>
    </w:p>
    <w:p>
      <w:r>
        <w:t>(213) As analyzed in more detail below, this Investigation Directorate estimates that the commitments presented by the FEMP resolve the potential competition issues analyzed in the file to the extent that they entail, on the one hand, the termination of the agreements subject to the file (and all those with similar or analogous content), as well as the FEMP's abstention from signing future agreements with similar or analogous content with Superior or General Councils of Professional Associations.</w:t>
      </w:r>
    </w:p>
    <w:p>
      <w:r>
        <w:t>(214) In light of this conclusion, it is advisable to consider that, according to the available information, the effects of the restrictive competition recommendations arising from the analyzed agreements have been minimal, especially after the initiation of the reference file.</w:t>
      </w:r>
    </w:p>
    <w:p>
      <w:r>
        <w:t>(215) From the information contained in the file, it can be inferred that the monitoring Committees that had been created in the various agreements have not been effective in monitoring the recommendations of the FEMP and the various Superior Councils of Associations.</w:t>
      </w:r>
    </w:p>
    <w:p>
      <w:r>
        <w:t>(216) The only committee that was formed was that of the FEMP-CSCAE agreement, and it was noted that there was little follow-up on the recommendation.</w:t>
      </w:r>
    </w:p>
    <w:p>
      <w:r>
        <w:t>(217) It should also be noted that a small number of agreements between Associations and City Councils related to documentary verification services and regulatory compliance have been detected, which were signed after the dissemination of each of the agreements, with a majority of agreements being signed beforehand.</w:t>
      </w:r>
    </w:p>
    <w:p>
      <w:r>
        <w:t>(218) Additionally, it should be noted that the FEMP is an association to which a part of the existing municipalities in Spain voluntarily belong, and that its recommendations are not binding.</w:t>
      </w:r>
    </w:p>
    <w:p>
      <w:r>
        <w:t>(219) Furthermore, the restrictive competition recommendations necessarily require a transposition effort by the City Councils to the municipal ordinances that regulate the obtaining of municipal licenses for them to take effect.</w:t>
      </w:r>
    </w:p>
    <w:p>
      <w:r>
        <w:t>(220) Likewise, the fact that the regional competition authorities (or even the CNC itself) are examining the compatibility with competition regulations of the individual agreements between City Councils and Professional Associations helps to minimize the restrictive effects arising from the recommendations.</w:t>
      </w:r>
    </w:p>
    <w:p>
      <w:r>
        <w:t>a) Termination of the agreements signed by the FEMP</w:t>
      </w:r>
    </w:p>
    <w:p>
      <w:r>
        <w:t>(221) This Investigation Directorate considers that the commitment of the FEMP, already implemented, to terminate the agreements that had been signed with the various Superior or General Councils of Professional Associations serves to compensate for the effects of the recommendation made by the FEMP and the Councils to the City Councils, to the extent that it eliminates one of the bases that may lead the City Councils to promote the emergence of activity reserves in the services of documentary verification and regulatory compliance regarding the processing and obtaining of municipal licenses.</w:t>
      </w:r>
    </w:p>
    <w:p>
      <w:r>
        <w:t>b) Dissemination of the conventional termination</w:t>
      </w:r>
    </w:p>
    <w:p>
      <w:r>
        <w:t>(222) Secondly, the FEMP opts to give greater dissemination to the Resolution of the Council and to the commitments adopted by its Executive Committee than it did at the time of signing the agreements subject to this file.</w:t>
      </w:r>
    </w:p>
    <w:p>
      <w:r>
        <w:t>(223) The FEMP will not only communicate the proposal approved by its Executive Committee on July 11, 2011, and the operative part of the Resolution of the CNC Council to municipalities with more than 20,000 inhabitants, which were those that directly received a notification of the signing of the agreements analyzed in this file, but will also proceed to publish it in various places on its website, as well as in publications distributed to its members.</w:t>
      </w:r>
    </w:p>
    <w:p>
      <w:r>
        <w:t>(224) In this way, the main criticism that the complainants made in their written allegations to the commitments presented on May 3, 2011, which was precisely the lack of dissemination among all its members and to third parties that the cause for the termination of the agreements signed by the FEMP and the Councils of Associations was not due to a mere conventional termination by the signing parties, but also to the initiation of the sanctioning file in question and to a possible violation of the LDC as a consequence of the signing of those agreements, is remedied.</w:t>
      </w:r>
    </w:p>
    <w:p>
      <w:r>
        <w:t>(225) Thus, all members of the FEMP and, in particular, all City Councils associated with it, as well as anyone who enters the homepage of the FEMP or the press releases disseminated among all press agencies, will be aware of the resolution of the signed agreements and the reasons that have led to the conventional termination of the reference file.</w:t>
      </w:r>
    </w:p>
    <w:p>
      <w:r>
        <w:t>(226) The FEMP, in the agreement of its Executive Committee, refers to the publication of the operative part of the Resolution of the CNC Council. This Directorate of</w:t>
      </w:r>
    </w:p>
    <w:p>
      <w:r>
        <w:rPr>
          <w:b/>
        </w:rPr>
        <w:t>[Pages 34–36]</w:t>
      </w:r>
    </w:p>
    <w:p>
      <w:r>
        <w:t>Investigación considers that this mention refers to the legal assessment that will be contained in the text of the Resolution of the CNC Council, which implies including in the text to be disseminated to the local entities associated with the FEMP the reasons why the signing of the agreements subject to the file may be contrary to the LDC and, specifically, the dissemination of the reasons why the CNC considers that this type of agreements generates de facto activity reserves that restrict competition.</w:t>
      </w:r>
    </w:p>
    <w:p>
      <w:r>
        <w:t>(227) In this way, the FEMP will not only contribute to conveying the fact that the agreements subject to this file have been rescinded, but it will also disseminate the reasons why this type of agreements and their clauses may be contrary to Article 1 of the LDC, serving this transmission of the resolutive part of the Resolution of the CNC Council for the City Councils to adjust their future conduct in relation to the regulation of documentary verification services and regulatory compliance within the framework of the processing and obtaining of municipal licenses.</w:t>
      </w:r>
    </w:p>
    <w:p>
      <w:r>
        <w:t>(228) In this way, the effects that the rescinded agreements may have had to date on competition, which as seen previously, are limited, are compensated, and the reasons why this type of agreements may make them contrary to the LDC are also conveyed to the various associates of the FEMP and not only to the recipients of the agreements subject to the file (i.e., the City Councils).</w:t>
      </w:r>
    </w:p>
    <w:p>
      <w:r>
        <w:t>(229) This dissemination that the FEMP will carry out within its field of action only refers to the agreements subject to this file, insofar as, as has been previously expressed, the individual agreements that may be signed by the various local entities and the Official Colleges or any other entity, which may violate the LDC, will in any case be subject to analysis by the CNC or, where appropriate, the regional competition authorities.</w:t>
      </w:r>
    </w:p>
    <w:p>
      <w:r>
        <w:t>c) Abstention from signing new agreements</w:t>
      </w:r>
    </w:p>
    <w:p>
      <w:r>
        <w:t>(230) The fact that the FEMP expressly commits to abstain from signing similar agreements in relation to municipal licenses also compensates for the future harm that could be done to competition in the markets subject to this file, as it strengthens the message to the City Councils that de facto activity reserves in the provision of documentary verification services and regulatory compliance within the framework of the processing and obtaining of certain categories of municipal licenses are not acceptable.</w:t>
      </w:r>
    </w:p>
    <w:p>
      <w:r>
        <w:t>FIFTH.- Assessment of the Council. In the present Conventional Termination procedure, the procedures provided for by the regulations cited in the First Ground have been strictly followed, so, in the opinion of the Council, the Conventional Termination of the same is possible.</w:t>
      </w:r>
    </w:p>
    <w:p>
      <w:r>
        <w:t>Once the analysis carried out by the DI on the behaviors, which is included in the SECOND Ground, as well as the final commitments presented by the FEMP that are signed by the rest of the accused and whose terms are included in the THIRD Ground, the Council agrees with the assessment that the DI makes of them and that is included in the FOURTH Ground, in the sense that they resolve the possible effects on competition that may arise from the behaviors subject to the initiated procedure, and therefore agrees with the DI that, in the terms of the last proposal of commitments presented by the FEMP, it is appropriate to resolve the conventional termination of the file.</w:t>
      </w:r>
    </w:p>
    <w:p>
      <w:r>
        <w:t>In view of the cited provisions and the others of general application, the Council of the National Competition Commission,</w:t>
      </w:r>
    </w:p>
    <w:p>
      <w:r>
        <w:t>RESOLVES</w:t>
      </w:r>
    </w:p>
    <w:p>
      <w:r>
        <w:t>FIRST.- To agree, under the protection of Article 52 of the LDC, the Conventional Termination of the sanctioning procedure of File S/235/10, FEMP-High Councils of Colleges agreements in the terms set out in the Third Legal Ground.</w:t>
      </w:r>
    </w:p>
    <w:p>
      <w:r>
        <w:t>SECOND.- The non-compliance with any of the previous commitments and obligations will be considered a very serious infringement in accordance with the provisions of Article 62.4 c) of the LDC and Article 39.7 of the RDC.</w:t>
      </w:r>
    </w:p>
    <w:p>
      <w:r>
        <w:t>THIRD.- To entrust the Directorate of Investigation with the monitoring of this Resolution of the Council of Conventional Termination.</w:t>
      </w:r>
    </w:p>
    <w:p>
      <w:r>
        <w:t>Communicate this Resolution to the Directorate of Investigation, and notify the interested parties informing them that there is no appeal against it in the administrative route, and that a contentious-administrative appeal may be filed before the National Court within two months from its notification.</w:t>
      </w:r>
    </w:p>
    <w:p>
      <w:r>
        <w:t>ANNEX I</w:t>
      </w:r>
    </w:p>
    <w:p>
      <w:r>
        <w:t>VERSION OF THE COMMITMENTS PRESENTED BY THE FEMP ON JULY 12, 2011</w:t>
      </w:r>
    </w:p>
    <w:p>
      <w:r>
        <w:t>“I hereby send you the Agreement dated July 11, 2011, approved by the Executive Committee of the FEMP in the meeting held yesterday, by which the commitments of the Federation to enable the conventional termination of File S/0235/10, initiated by the National Competition Commission, are substantiated.</w:t>
      </w:r>
    </w:p>
    <w:p>
      <w:r>
        <w:t>This Agreement will be published, in the coming hours according to the usual procedure, on the website in the section "Summary of Agreements," alongside the others adopted in the meeting of the Executive Committee.</w:t>
      </w:r>
    </w:p>
    <w:p>
      <w:r>
        <w:t>In compliance with the commitment made, and given the importance of the matter, once the Council of the National Competition Commission resolves the conventional termination of the file, we will proceed to convey the complete information regarding the Agreement of Conventional Termination, not only to those to whom the Agreements that led to the initiation of file S/0235/10 were sent, but to all our associates, City Councils, Provincial Councils, Councils, Cabildos, as well as to the Territorial Federations, also proceeding to communicate it through a press release to the media, inclusion in our magazine "Carta Local," and in our legal publication "Cuadernos."</w:t>
      </w:r>
    </w:p>
    <w:p>
      <w:r>
        <w:t>The press release would contain both the text of the Agreement of the Executive Committee and the dispositive part of the Agreement of the CNC, once the Council resolves the conventional termination of the initiated file.</w:t>
      </w:r>
    </w:p>
    <w:p>
      <w:r>
        <w:t>Likewise, we will incorporate this information on our website, in the most prominent place, the homepage, for a reasonable and sufficient time to ensure wide knowledge, which could well be set at one month, as well as in the sections on commissions, agreements, and best practices, indefinitely.”</w:t>
      </w:r>
    </w:p>
    <w:p>
      <w:r>
        <w:t>ANNEX:</w:t>
      </w:r>
    </w:p>
    <w:p>
      <w:r>
        <w:t>“Ms. XXX, with ID n° XXX, Secretary General of the Spanish Federation of Municipalities and Provinces (FEMP), by appointment of its Executive Committee through agreement of July 28, 2009, by means of the following document CERTIFIES:</w:t>
      </w:r>
    </w:p>
    <w:p>
      <w:r>
        <w:t>That the text that follows faithfully reflects the Agreement adopted by the Executive Committee of the FEMP in relation to the sanctioning file S/0235/2010, initiated by the National Competition Commission, there being a</w:t>
      </w:r>
    </w:p>
    <w:p>
      <w:r>
        <w:rPr>
          <w:b/>
        </w:rPr>
        <w:t>[Pages 37–38]</w:t>
      </w:r>
    </w:p>
    <w:p>
      <w:r>
        <w:t>certifies:</w:t>
        <w:br/>
        <w:t>That the text transcribed below faithfully reflects the Agreement adopted by the Executive Commission of the FEMP in relation to the sanctioning file S/0235/2010, initiated by the National Competition Commission, having a literal correspondence with the formal minutes of the meeting held on July 11, 2011, in which the aforementioned agreement was articulated, constituting an extract of the same.</w:t>
      </w:r>
    </w:p>
    <w:p>
      <w:r>
        <w:t>File S/0235/10 initiated by the National Competition Commission</w:t>
        <w:br/>
        <w:t>On January 14, 2011, the Investigation Directorate of the National Competition Commission notified the FEMP of the agreement to initiate a sanctioning file, in relation to the signing of the Agreements with the Superior Council of Architects of Spain and with the General Council of Official Surveyors and Technical Architects, subsequently expanded in April, in relation to the Agreement signed by the FEMP with the General Council of Official Industrial Engineers, and in whose processing a request for information regarding the Draft Agreement with the General Council of Official Experts and Technical Industrial Engineers has been received.</w:t>
      </w:r>
    </w:p>
    <w:p>
      <w:r>
        <w:t>The Executive Commission of the FEMP, after analyzing the communication regarding the opening of the sanctioning file, even prior to the drafting of the statement of facts, without entering into the merits of the matter, in its meeting of January 25, 2011, to avoid any possible regulatory infringement in relation to the Competition Defense Law from which significant sanctions could arise, agreed to propose the conventional termination of the procedure and the resolution by mutual agreement with the Professional Councils of Architects, Technical Architects, and Industrial Engineers, of the bilateral agreements signed and submitted for analysis in the file. This agreement was communicated to the members through the website on the same day it was adopted.</w:t>
      </w:r>
    </w:p>
    <w:p>
      <w:r>
        <w:t>Subsequently, by mutual agreement, the agreements for the resolution of the framework collaboration agreements signed that were the subject of the file were subscribed. On March 23, 2011, the resolution agreement with the General Council of Official Industrial Engineers was signed, on March 24 the resolution agreement with the Superior Council of Architects of Spain was signed, and on April 14 the resolution agreement with the General Council of Official Surveyors and Technical Architects was subscribed.</w:t>
      </w:r>
    </w:p>
    <w:p>
      <w:r>
        <w:t>On May 3, 2011, a request was formalized before the CNC for that body to agree to initiate the actions aimed at enabling the conventional termination of the sanctioning file, based on the agreement adopted by the Executive Commission, and after the materialization of the resolution of the agreements, to the extent that the possible effects on competition were eliminated, and the public interest was guaranteed.</w:t>
      </w:r>
    </w:p>
    <w:p>
      <w:r>
        <w:t>Likewise, the CNC was offered the commitment to communicate, if applicable, the agreement for the conventional termination of the file to all its members, City Councils, Provincial Councils, Councils, Cabildos, as well as to the Territorial Federations integrated into the Territorial Council.</w:t>
      </w:r>
    </w:p>
    <w:p>
      <w:r>
        <w:t>After the notification of the Agreement of May 11, 2011, adopted by the Investigation Directorate of the National Competition Commission, which stipulates the initiation of actions aimed at the conventional termination of the sanctioning file 5/0235/10, the Executive Commission agrees to the following additional commitment to enable the conventional termination without sanction for the FEMP:</w:t>
      </w:r>
    </w:p>
    <w:p>
      <w:r>
        <w:t>The FEMP will not sign Agreements or Agreements with the Superior or General Councils of Professional Associations that have similar or analogous content to those that have been the subject of file S/0235/10, particularly regarding the procedures for obtaining municipal licenses. Prior to this, the FEMP has agreed to resolve all agreements signed with similar or analogous content.</w:t>
      </w:r>
    </w:p>
    <w:p>
      <w:r>
        <w:t>This agreement, along with the resolutive part of the Agreement of the CNC Council agreeing to the conventional termination of the file, as a consequence of the resolution of the agreements signed with the Superior Council of Architects of Spain, with the General Council of Official Surveyors and Technical Architects, and with the General Council of Official Industrial Engineers, will be communicated through the FEMP website and sent to all members.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