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https://www.cnmc.es/expedientes/s024610</w:t>
      </w:r>
    </w:p>
    <w:p>
      <w:r>
        <w:t>Pages translated : 17</w:t>
      </w:r>
    </w:p>
    <w:p/>
    <w:p>
      <w:r>
        <w:rPr>
          <w:b/>
        </w:rPr>
        <w:t>[Pages 1–3]</w:t>
      </w:r>
    </w:p>
    <w:p>
      <w:r>
        <w:t xml:space="preserve">RESOLUTION  </w:t>
        <w:br/>
        <w:t xml:space="preserve">File No. S/0246/10, Vocento / Godó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In Madrid, on June 30, 2011</w:t>
      </w:r>
    </w:p>
    <w:p>
      <w:r>
        <w:t>The Council of the National Competition Commission, with the composition expressed and being the Rapporteur Councilor Mr. Julio Costas Comesaña, has issued the following Resolution in the sanctioning file No. S/0246/10, initiated ex officio by the Investigation Directorate of the National Competition Commission against Publipress Media, S.L.U., Corporación Multimedia Vocento, S.A.U. and their respective parent companies Grupo Godó de Comunicación, S.A. and Vocento, S.A., for possible restrictive competition behaviors prohibited by Article 1 of Law 15/2007, of July 3, on the Defense of Competition, consisting of agreements between competitors regarding the joint commercialization of advertising spaces in the print press that contain price-fixing and discount agreements.</w:t>
      </w:r>
    </w:p>
    <w:p>
      <w:r>
        <w:t xml:space="preserve">BACKGROUND FACTS  </w:t>
        <w:br/>
        <w:t xml:space="preserve">1. The Investigation Directorate (DI) of the National Competition Commission (CNC) became aware of an agreement signed between Publipress Media, S.L.U. (PUBLIPRESS), a subsidiary of Grupo Godó de Comunicación, S.A. (GODÓ), and Corporación Multimedia Vocento, S.A.U. (CM Vocento), a subsidiary of Vocento, S.A. (VOCENTO), to jointly market the advertising spaces of the Sunday supplements: XL Semanal and Magazine.  </w:t>
        <w:br/>
        <w:t>In order to ascertain the reality of the facts as much as possible, as well as to determine whether there were indications of infringement of Law 15/2007, of July 3, on the Defense of Competition (LDC), the DI opened preliminary proceedings (DP/0004/10 Vocento/Godó) on the matter, within which several requests for information were made to the two publishing groups.</w:t>
      </w:r>
    </w:p>
    <w:p>
      <w:r>
        <w:t>2. In view of the information submitted by the companies, on April 14, 2010, the DI transformed said preliminary proceedings into a reserved information in accordance with the provisions of Article 49.2 of the LDC, with the file number S/0246/10, in order to study whether the circumstances justifying the initiation of the corresponding sanctioning file were present.</w:t>
      </w:r>
    </w:p>
    <w:p>
      <w:r>
        <w:t>3. In accordance with the provisions of Article 49.1 of the LDC, on May 25, 2010, it was agreed to initiate a sanctioning file against GODÓ, PUBLIPRESS, VOCENTO, and CM Vocento, for alleged prohibited behaviors under Article 1 of the LDC, with the number S/0246/10 (pages 262 to 263).</w:t>
      </w:r>
    </w:p>
    <w:p>
      <w:r>
        <w:t xml:space="preserve">4. On October 29, 2010, a document was submitted to the CNC by GODÓ, PUBLIPRESS, VOCENTO, and CM Vocento requesting the initiation of the processing of a conventional termination (pages 398 to 400).  </w:t>
        <w:br/>
        <w:t>On November 3, 2010, the DI agreed to initiate the proceedings aimed at the conventional termination of the sanctioning procedure in reference (page 401), which was notified to the accused companies granting them a period of 15 working days to submit a proposal for commitments. On November 23, 2010, the proposal for commitments submitted by GODÓ, PUBLIPRESS, VOCENTO, and CM Vocento was received at the CNC (pages 417 to 424).</w:t>
      </w:r>
    </w:p>
    <w:p>
      <w:r>
        <w:t xml:space="preserve">5. On November 23, 2010, a document was received at the CNC from Promotora de Informaciones, S.A. (PRISA) and Grupo Zeta, S.A. (ZETA) requesting to be considered an interested party in the reference file. By agreement of December 2, 2010, the DI admitted the participation of PRISA and ZETA in file S/0246/10 as interested parties.  </w:t>
        <w:br/>
        <w:t xml:space="preserve">On December 10, 2010, an appeal was filed by GODÓ and PUBLIPRESS before the Council of the CNC (R/0061/10), under Article 47 of the LDC, against the aforementioned agreement admitting interested parties.  </w:t>
        <w:br/>
        <w:t xml:space="preserve">On December 20, 2010, an appeal was filed by VOCENTO and CM Vocento before the Council of the CNC (R/0062/10), under Article 47 of the LDC, against the aforementioned agreement admitting interested parties.  </w:t>
        <w:br/>
        <w:t>On January 4, 2011, the Council of the CNC resolved to dismiss the aforementioned appeals R/0061/10 and R/0062/10, for failing to meet the requirements established in Article 47 of the LDC (pages 567 to 573 and 603 to 609).</w:t>
      </w:r>
    </w:p>
    <w:p>
      <w:r>
        <w:t xml:space="preserve">6. On January 12, 2011, the DI agreed to reject the initial commitments submitted by GODÓ, PUBLIPRESS, VOCENTO, and CM Vocento on November 23, 2010, as they were deemed insufficient to adequately resolve the effects on competition arising from the behaviors subject to the reference file (pages 626-632), and granted the accused companies a period of ten days to submit new commitments that adequately addressed the effects on competition arising from the behaviors subject to the file.  </w:t>
        <w:br/>
        <w:t xml:space="preserve">On January 25, 2011, the second proposal for commitments submitted by GODÓ, PUBLIPRESS, VOCENTO, and CM Vocento was received (pages 684-693).  </w:t>
        <w:br/>
        <w:t>On February 23, 2011, the Investigation Directorate requested certain clarifications from GODÓ, PUBLIPRESS, VOCENTO, and CM Vocento regarding their second proposal for commitments (pages 699-702), which were received at the CNC on March 2, 2011 (pages 713-741). On March 10, GODÓ, PUBLIPRESS, VOCENTO, and CM Vocento sent the final version of their commitments (pages 743 to 750).</w:t>
      </w:r>
    </w:p>
    <w:p>
      <w:r>
        <w:t xml:space="preserve">7. The Council of the National Competition Commission deliberated and ruled on this case file in its meeting on June 15, 2011.  </w:t>
        <w:br/>
        <w:t xml:space="preserve">8. The interested parties in this case file No. S/0245/10 are:  </w:t>
        <w:br/>
        <w:t xml:space="preserve">- Publipress Media, S.L.U., (PUBLIPRESS),  </w:t>
        <w:br/>
        <w:t xml:space="preserve">- Grupo Godó de Comunicación, S.A. (GODÓ)  </w:t>
        <w:br/>
        <w:t xml:space="preserve">- Corporación Multimedia Vocento, S.A.U. (CM Vocento)  </w:t>
        <w:br/>
        <w:t xml:space="preserve">- Vocento, S.A. (VOCENTO)  </w:t>
        <w:br/>
        <w:t xml:space="preserve">- Promotora de Informaciones, S.A. (PRISA)  </w:t>
        <w:br/>
        <w:t>- Grupo Zeta, S.A. (ZETA)</w:t>
      </w:r>
    </w:p>
    <w:p>
      <w:r>
        <w:t xml:space="preserve">PROVEN FACTS  </w:t>
        <w:br/>
        <w:t xml:space="preserve">The proposal for conventional termination submitted by the DI describes the companies against which the case file has been initiated as follows:  </w:t>
        <w:br/>
        <w:t xml:space="preserve">1. The VOCENTO group is the parent company of a communication group that exclusively markets through its subsidiary CM Vocento: (i) the advertising spaces of its national publications ABC and QUE!; (ii) the national advertising of the local newspapers El Correo, El Diario Vasco, El Diario Montañés, La Verdad, Ideal, Hoy, Sur, La Rioja, El Norte de Castilla, El Comercio, la Voz de Cádiz, and Las Provincias; and (iii) the advertising spaces of the magazines and supplements Pantalla Semanal, Mujer Hoy, Hoy Corazón, and the Sunday supplement XL Semanal.  </w:t>
        <w:br/>
        <w:t xml:space="preserve">Almost all (99%) of the turnover from the publishing and sale of periodical publications corresponds to the press (daily + supplements) (see tables pages 320 and 321).  </w:t>
        <w:br/>
        <w:t>The advertising revenues from periodical publications obtained by the VOCENTO Group represent 40% of the total revenues obtained by the Group in the business of publishing and selling periodical publications (page 321).</w:t>
      </w:r>
    </w:p>
    <w:p>
      <w:r>
        <w:t xml:space="preserve">2. GODÓ is a communication group that manages and markets the advertising of its media through its 100% subsidiary PUBLIPRESS. In particular, this company manages the marketing of advertising, among others, for the newspapers La Vanguardia and Mundo Deportivo in addition to the Sunday supplement Magazine. The advertising for the magazines Interiores, Play Boy, Historia, and Vida is managed by Prisma Publicaciones, which is 50% owned by Grupo GODÓ and Grupo Planeta.  </w:t>
        <w:br/>
        <w:t>Most of the business of publishing and selling periodical publications of Grupo Godó corresponds to the press (daily + supplements).</w:t>
      </w:r>
    </w:p>
    <w:p>
      <w:r>
        <w:rPr>
          <w:b/>
        </w:rPr>
        <w:t>[Pages 4–6]</w:t>
      </w:r>
    </w:p>
    <w:p>
      <w:r>
        <w:t>Magazine. The advertising for the magazines Interiores, Play Boy, Historia, and Vida is managed by Prisma Publicaciones, which is 50% owned by Grupo GODÓ and Grupo Planeta. The majority of Grupo Godó's business in the publishing and sale of periodical publications corresponds to the press (daily + supplements).</w:t>
      </w:r>
    </w:p>
    <w:p>
      <w:r>
        <w:t>The advertising revenues from periodical publications obtained by Grupo Godó represent 39% of the total revenues obtained by the Group in the business of publishing and selling periodical publications. In that same document, the DI considers the following as established facts:</w:t>
      </w:r>
    </w:p>
    <w:p>
      <w:r>
        <w:t>3. On December 21, 2009, PUBLIPRESS and CM Vocento signed an agreement (pages 41 to 55) to jointly market the advertising of the Sunday supplements Magazine (GODÓ) and XL Semanal (VOCENTO). In clause 1.2 of the aforementioned contract, it is stated that the Sunday supplement Magazine is distributed jointly with La Vanguardia and the newspapers of the Grupo Prensa Ibérica (24), and that the Sunday supplement XL Semanal is distributed with ABC and the regional newspapers of Grupo Vocento (22 daily newspapers).</w:t>
      </w:r>
    </w:p>
    <w:p>
      <w:r>
        <w:t>4. The contract obliges the contracting parties to make joint offers for advertising spaces with unique rates, as well as to agree on those rates with the advertisers. Thus, in clause 2.5 of the agreement (page 44), it is indicated that "the rates at which the advertisements, sponsorships, or promotional spaces are marketed will be agreed upon between the parties and must be approved by the Monitoring Committee referred to in clause four (...). The rates will be identical (...), will have an official and public character, without prejudice to agreements for discounts, rebates, or one-off reductions, depending on the nature of the advertiser and the campaign, and must be approved prior to their application by the parties."</w:t>
      </w:r>
    </w:p>
    <w:p>
      <w:r>
        <w:t>The obligation for joint marketing is reflected in clause 2.6 of the cited agreement (page 44), where it is indicated that "The rates agreed upon by the parties will apply to the marketing of the insertions or contracting of advertising spaces, jointly for both supplements. However, in the case of existing prior agreements with advertisers by either party, advertising spaces may be offered and contracted separately for each supplement, and until the expiration of the agreement in question. Advertising insertions, pages, or inserts may be contracted separately for any of the supplements at the request of the advertisers, taking into account special concurrent circumstances in the case, such as the eminently local nature or other similar factors."</w:t>
      </w:r>
    </w:p>
    <w:p>
      <w:r>
        <w:t>The requirement to offer the advertising spaces of the supplements affected by the agreement at the rates agreed upon by the parties is reiterated in clause 2.7 of the agreement (page 44), where it is indicated that "The commercial team will offer advertisers, agencies, or media centers the advertising or promotional spaces according to the rates set by agreement of the parties, and may not market, under any circumstances, advertising spaces at prices different from those approved and in force by the parties, in the terms described in sections 2.5 and 2.6 at all times during the validity of this contract."</w:t>
      </w:r>
    </w:p>
    <w:p>
      <w:r>
        <w:t>5. The activities subject to this agreement are carried out by a commercial team in which members of both groups participate (clause 2.1 of the agreement). The members of this team may not develop any other activity for the parties except by express and written agreement of the parties (clause 2.1).</w:t>
      </w:r>
    </w:p>
    <w:p>
      <w:r>
        <w:t>6. Regarding data processing, clause 12.1 (page 51) of the agreement states that "from the entry into force of this contract, the parties will inform the advertisers that they will be incorporated into the files of both companies, for those clients who are not already incorporated into those of either of them." It is also established in clause 12.3 of the agreement (page 52) that "(...) All material to which the parties have access, and specifically the members of the commercial team (...), is considered strictly confidential for all purposes, and may not be used for purposes other than the strict compliance with this contract. For this purpose, the members of the commercial team will need a password to access the client and advertiser files of the CM Vocento supplements. (...). The same treatment applies to the client and advertiser file of Publipress (...)."</w:t>
      </w:r>
    </w:p>
    <w:p>
      <w:r>
        <w:t>7. The agreement includes a single billing system by CM Vocento with a commercial team in which both companies participate (page 46). The revenue-sharing mechanism obtained from the sale of advertising is as follows: 65.4% VOCENTO and 34.6% GODÓ. The direct costs derived from the agreement are shared in the same proportion as the revenues (pages 46 and 47). However, the exchange advertising related to companies belonging to the respective groups and the shrink-wrapped inserts, which will be marketed, billed, and collected independently by each group, are excluded from the agreement and are not subject to the single billing system.</w:t>
      </w:r>
    </w:p>
    <w:p>
      <w:r>
        <w:t>8. The contract is signed for a period of one year, automatically renewable for annual periods, unless either party communicates in writing to the other its intention to terminate the contract with a minimum notice of five months prior to the expiration date of the contract or any of its extensions (clauses 9.1 and 9.2). Furthermore, clause 10.1 establishes mechanisms for early termination without compensation, due to a significant reduction in the levels of dissemination or audience of either of the partners (page 50).</w:t>
      </w:r>
    </w:p>
    <w:p>
      <w:r>
        <w:t>Finally, the Proposal for conventional termination contains the following analysis of the relevant market:</w:t>
      </w:r>
    </w:p>
    <w:p>
      <w:r>
        <w:t>9. “III. MARKETS AFFECTED BY THE AGREEMENTS III.1. Product Markets (26) The economic sector in which the analyzed agreement is framed is that of advertising, particularly the marketing of advertising spaces in written media. In particular, the agreement affects the Sunday supplements of general information XL Semanal and Magazine. (27) The various community and national precedents have differentiated the market for the sale of advertising spaces in written media from the market for the publishing and sale of publications.</w:t>
      </w:r>
    </w:p>
    <w:p>
      <w:r>
        <w:t>(28) The signing parties of the agreement are present in both markets, with the market for the sale of advertising spaces being vital for the viability of the business of publishing and selling publications, to the extent that a substantial part of the financing of this business comes from advertising revenues. III.1.1. Markets for the sale of advertising spaces in periodical publications (29) Some community precedents [Case M.1401 Recoletos / Unedisa], without closing the definition of the market, have considered that the sale of advertising spaces in periodical publications could constitute a single market regardless of the type of publication used, its frequency, theme, etc. This is because the main buyers are not the companies wishing to promote their products, but the large media centers that act as intermediaries buying advertising spaces in different media to sell them to advertisers. (30) This criterion is defended by the parties to the agreement who believe that there is sufficient substitutability between the different types of publications regardless of their frequency or theme (pages 31, 116, 117, 156, and 157). To this end, the parties argue that the advertisements of all publications are aimed at the same segment (readers) and the main demanders of advertising spaces in Spain are not the advertising companies, but the media centers. Furthermore, it is common to find the same advertisement in different print media, regardless of the reach, frequency, or content of the medium. (31) However, the European Commission in other matters [Case M.3420 GIMD/SOCPRESSE] and the CNC [C/0188/09 RBA-EDIPRESSE] have defended the segmentation of the market for the sale of advertising spaces in written media depending on whether it is daily press or magazines, as each medium serves different functions from the advertiser's point of view, targets a different audience, and the price also differs (generally more expensive in newspapers). (32) On the other hand, the fact that media centers mediate the advertising of various media is not sufficient to demonstrate the existence of substitutability from the demand side, as media centers act on behalf of the advertisers who are the ones contracting the advertising and deciding in which media they advertise. (33) There is also the possibility of differentiating markets for the marketing of advertising spaces according to the type of coverage: national, for advertising that appears in all national and local editions of the same title (or group of titles) with national coverage, and local, for regional-local advertising that appears in the local editions of a specific region. (34) The agreement under analysis affects the Sunday supplements and national advertising, so for the purposes of this file, it will be...</w:t>
      </w:r>
    </w:p>
    <w:p>
      <w:r>
        <w:rPr>
          <w:b/>
        </w:rPr>
        <w:t>[Pages 7–9]</w:t>
      </w:r>
    </w:p>
    <w:p>
      <w:r>
        <w:t>consider the affected product market as the market for the sale of advertising spaces for national advertising in the print press (daily and supplements).</w:t>
      </w:r>
    </w:p>
    <w:p>
      <w:r>
        <w:t>(35) All this is without prejudice to the fact that, for the purposes of completing the analysis, the presence of the parties in the set of periodical publications and in the narrower segment of supplements is examined.</w:t>
      </w:r>
    </w:p>
    <w:p>
      <w:r>
        <w:t>III.1.2. Markets for the publishing and sale of periodical publications</w:t>
      </w:r>
    </w:p>
    <w:p>
      <w:r>
        <w:t>(36) The signed agreement may also affect the vertically related market of publishing and selling periodical publications, primarily the segment of daily press and associated supplements, to the extent that the groups to which the parties of the agreement belong have a significant presence in this activity and the income derived from advertising investment represents a fundamental part of the business of publishing and selling publications.</w:t>
      </w:r>
    </w:p>
    <w:p>
      <w:r>
        <w:t>(37) According to various national precedents [N/06047 PLANETA / GODO / PRISMA and N/06132 3i Group / Activos BME; C/0119/08 DISTRIRUTAS / GELESA / LOGINTEGRAL / SIGLO XXI] and community precedents [M.423 Newspaper publishing, M.1401 Recoletos/Unedisa and M.3420 GIMD/Socpresse], the publishing and sale of daily print press and associated supplements constitute separate markets from the publishing and sale of non-daily periodical publications or magazines. Differences in periodicity, commercial policy, levels of circulation, prices (much higher in magazines), coverage, and content justify the differentiation of these markets.</w:t>
      </w:r>
    </w:p>
    <w:p>
      <w:r>
        <w:t>(38) It will therefore be considered that for the purposes of this case file, there are differentiated relevant markets (i) for the publishing of daily press and associated supplements and (ii) for the publishing of magazines.</w:t>
      </w:r>
    </w:p>
    <w:p>
      <w:r>
        <w:t>(39) All this is without prejudice to the fact that, for the purposes of completing the analysis, the presence of the partners of the signing parties of the agreements in the overall publishing of periodical publications is examined.</w:t>
      </w:r>
    </w:p>
    <w:p>
      <w:r>
        <w:t>III.2. Geographic Markets</w:t>
      </w:r>
    </w:p>
    <w:p>
      <w:r>
        <w:t>III.2.1. Markets for the sale of advertising spaces in periodical publications</w:t>
      </w:r>
    </w:p>
    <w:p>
      <w:r>
        <w:t>(40) When delimiting the relevant geographic scope of the markets for the sale of advertising spaces in periodical publications, it is necessary to differentiate the coverage of the contracted advertising; and the media used (paper or electronic).</w:t>
      </w:r>
    </w:p>
    <w:p>
      <w:r>
        <w:t>(41) In particular, for the print press on paper, there are two geographic markets:</w:t>
        <w:br/>
        <w:t>- with regard to national advertising, it would have a national dimension</w:t>
        <w:br/>
        <w:t>- concerning local advertising, it can be concluded that each local/regional area where there are local coverage headers or local editions of national headers is a differentiated geographic market, to the extent that there would be a differentiated supply and demand for advertising spaces.</w:t>
      </w:r>
    </w:p>
    <w:p>
      <w:r>
        <w:t>(42) For periodical publications in electronic format, the geographic market is national given the unlimited coverage of online publications and the national profile of the contracted advertising.</w:t>
      </w:r>
    </w:p>
    <w:p>
      <w:r>
        <w:t>III.2.2. Markets for the publishing and sale of periodical publications</w:t>
      </w:r>
    </w:p>
    <w:p>
      <w:r>
        <w:t>(43) For the purposes of this case file and without closing the exact definition of the geographic market, it is considered that it has a national dimension given that the supplements affected by the agreements are distributed in a large part of the national territory.</w:t>
      </w:r>
    </w:p>
    <w:p>
      <w:r>
        <w:t>10. IV. COMPETITIVE SITUATION IN THE RELEVANT MARKETS</w:t>
      </w:r>
    </w:p>
    <w:p>
      <w:r>
        <w:t>IV.1. Markets for advertising investment in periodical publications</w:t>
      </w:r>
    </w:p>
    <w:p>
      <w:r>
        <w:t>(44) In the national market for the sale of advertising spaces in periodical publications, the joint share of the participating groups is &lt; 30. If Prensa Ibérica is included, whose newspapers distribute XL Semanal, the share rises to &lt; 30 [The share data in this section and the next three at the national level and for each operator have been provided by VOCENTO (folio 321) using Infoadex as a source, except for the data related to GODÓ (folio 368) which have been provided by that group using ip2 (advertising investment index) as a source].</w:t>
      </w:r>
    </w:p>
    <w:p>
      <w:r>
        <w:t>(45) In the market for advertising spaces in print press (daily and supplements), the joint share of the participating groups is [30-40%] % and together with Prensa Ibérica it is [30-40]%. As already noted, the income from advertising investment in digital press is of little relevance and in any case, even including that investment, the relative weights of each of the operators remain.</w:t>
      </w:r>
    </w:p>
    <w:p>
      <w:r>
        <w:t>(46) There are other significant competitors whose shares in the market for the sale of advertising spaces in print press and supplements are: PRISA (&lt; 20%); ZETA (&lt; 20%); and Unidad Editorial (&lt; 20%).</w:t>
      </w:r>
    </w:p>
    <w:p>
      <w:r>
        <w:t>(47) The weight of the supplements affected by the agreement in the national market for the sale of advertising spaces in press (daily + supplements) is [0-10]% and in the total advertising income derived from the supplements at the national level, the share is [30-40]% [Data provided by VOCENTO using infoadex as a source. The data provided by GODÓ using ip2 as a source shows a joint share of &lt; 40% in the total advertising income derived from the supplements at the national level (folio 375)] (folio 329).</w:t>
      </w:r>
    </w:p>
    <w:p>
      <w:r>
        <w:t>(48) The weight of the advertising income of the two Sunday editions concerning the advertising income obtained by their respective publishing groups in print press is [0-10]% (VOCENTO) and [0-10]% (GODÓ).</w:t>
      </w:r>
    </w:p>
    <w:p>
      <w:r>
        <w:t>(49) Regarding the type of client, agencies or media centers absorb the majority of advertising space purchases (&gt; 50% VOCENTO and &gt; 50% GODÓ). These percentages are much higher for the Sunday editions XL Semanal [&gt; 70]% and Magazine [&gt; 70]% (folios 330 and 359).</w:t>
      </w:r>
    </w:p>
    <w:p>
      <w:r>
        <w:t>IV.2. Market for the publishing and sale of periodical publications</w:t>
      </w:r>
    </w:p>
    <w:p>
      <w:r>
        <w:t>(50) In this market, the weight of the business also falls on daily press + supplements, representing more than 70% of this market in both groups.</w:t>
      </w:r>
    </w:p>
    <w:p>
      <w:r>
        <w:t>(51) The joint share at the national level in the market for the publishing and sale of periodical publications of the publishing groups to which the parties belong is, in terms of audience […] of [&lt; 30]% and in terms of circulation […] of [&lt; 30]% (folios 326, 327 and 375).</w:t>
      </w:r>
    </w:p>
    <w:p>
      <w:r>
        <w:t>(52) In the segmented market of press (daily + supplements), the joint share is [&lt; 40]% (audience) and [&lt; 50]% (circulation).</w:t>
      </w:r>
    </w:p>
    <w:p>
      <w:r>
        <w:t>(53) The supplements affected by the agreement represent [&lt; 40]% in terms of audience and [&lt; 40]% in terms of circulation concerning the total of national supplements (folio 329).</w:t>
      </w:r>
    </w:p>
    <w:p>
      <w:r>
        <w:t>IV.3. Distribution channels, rates, and prices applied in the advertising of periodical publications</w:t>
      </w:r>
    </w:p>
    <w:p>
      <w:r>
        <w:t>(54) The commercialization of advertising spaces in the large media groups is usually carried out through companies belonging to the same group. Over [&gt;80]% of the income managed by CM Vocento corresponds to owned media (folio 323) and PUBLIPRESS does not manage advertising spaces for third parties (folio 357).</w:t>
      </w:r>
    </w:p>
    <w:p>
      <w:r>
        <w:t>(55) The reference rates used by CM Vocento and PUBLIPRESS are public and according to data provided by the accused parties (folios 100, 331 and 360), have followed an upward trend in the analyzed period (2007-2010). These increases have not been homogeneous for all types of formats, with much higher increases observed in double-page formats. The joint rates presented for 2010 represent a decrease of 10-15% compared to the rates applied individually (folio 100).</w:t>
      </w:r>
    </w:p>
    <w:p>
      <w:r>
        <w:t>(56) In any case, the average prices actually applied […] (folios 332 and 361 to 366) are usually much lower than the published rates, with reductions of [&gt; 40]% […].</w:t>
      </w:r>
    </w:p>
    <w:p>
      <w:r>
        <w:t>(57) Furthermore, the relative cost that an advertiser must face when wishing to acquire advertising spaces in print not only takes into account the price of the advertisement but also the audience, which is measured by the CPM indicator.</w:t>
      </w:r>
    </w:p>
    <w:p>
      <w:r>
        <w:rPr>
          <w:b/>
        </w:rPr>
        <w:t>[Pages 10–12]</w:t>
      </w:r>
    </w:p>
    <w:p>
      <w:r>
        <w:t>joint commercialization of products that compete with each other in attracting advertising (clauses 2.5, 2.6, and 2.7; HP 4). These contractual clauses are objectively capable of restricting competition by their object, as they not only eliminate price competition between the parties to the agreement concerning the advertising of the affected supplements but also reduce the choices available to consumers (advertisers), insofar as they are required to place advertising in the two aforementioned Sunday editions. The signed agreement also facilitates access to sensitive commercial information regarding prices or marketing strategies of the partners and the Grupo Editorial Prensa Ibérica (the Magazine supplement is distributed with the newspapers of that group), which may also lead to a violation of Article 1 of the LDC.</w:t>
      </w:r>
    </w:p>
    <w:p>
      <w:r>
        <w:t>For the purposes of applying the exemption of Article 1.3 of the LDC, the companies involved argue that the agreement generates certain efficiencies, both on the supply side and the demand side.</w:t>
      </w:r>
    </w:p>
    <w:p>
      <w:r>
        <w:t>On the demand side, it is noted that the agreement allows for an expansion of the geographical reach of the advertising space offer by providing a support with national coverage, due to the complementarity in the distribution of both supplements (The main distribution territory of Magazine is Catalonia and, to a lesser extent, Asturias, Valencia Community, and Andalusia. XL Semanal is mainly distributed in Madrid, Valencia Community, Basque Country, and Galicia). In particular, the parties insist that there is practically no overlap, as only 2.4% of the audience is common, which makes the new product attractive to the client. Ultimately, the contractual parties believe that a more interesting product is offered, which will result in a larger audience with the least possible duplications and consequently, an increase in advertising investment. The parties also claim the existence of efficiencies that benefit the client in terms of time and personnel savings in contracting the advertising of the supplements, lower intermediation costs, clarity, and simplification of administrative work.</w:t>
      </w:r>
    </w:p>
    <w:p>
      <w:r>
        <w:t>On the supply side, the parties argue efficiencies derived from a lower unit production cost as a result of the increase in sales of advertising spaces, by offering a product with greater added value, which would translate into a lower price for the client. According to a study by the economic consultancy Nera (folios 57-98) provided by the parties, the complementarity of the two supplements where there is hardly any duplication of readers and the greater geographical coverage, provide added value to the offered product that will automatically result in an increase in advertising space sales and, therefore, lower unit production costs and lower prices.</w:t>
      </w:r>
    </w:p>
    <w:p>
      <w:r>
        <w:t>The parties, in turn, argue that these efficiencies benefit the consumer through the reduction of joint rates (15% lower than those applied to individual contracting).</w:t>
      </w:r>
    </w:p>
    <w:p>
      <w:r>
        <w:t>The Council agrees with the parties that the limited geographical overlap and, therefore, the complementarity in the territorial distribution of both supplements or Sunday editions attribute to the contractual product an added value in relation to the individual marketing of the advertising spaces of each supplement, which can translate into an increase in advertising investment and this, in turn, into a reduction of unit production costs. The Council has greater doubts regarding whether the alleged eventual reduction in price for the client (advertisers) is a consequence or effect of the joint commercialization agreement and whether it can be significant. As the DI points out in its proposal for conventional termination, the reduction in the unit cost of advertising would derive from an increase in advertising sales in a context of fixed costs, and not from a reduction in marginal costs or even in fixed costs themselves, so it does not seem that as a consequence of the controversial agreement there will be a significant cost saving that can be passed on to advertisers. And regarding the claim that efficiencies benefit the consumer through the reduction of joint rates, it should be noted, on the one hand, that the reduction of joint rates is the direct result of a decision by the parties and not so much of the nature of the agreement, and that just as it is adopted, it can be revoked. On the other hand, it is the prices actually charged (much lower than the rates due to the significant discounts applied to them) and not the rates, that determine the client's decision to purchase the product. In this sense, it is observed that prices and rates diverge greatly, both in absolute values and in the trend followed in recent years. Thus, while rates have followed an upward trend in the analyzed period (2007-2010), the prices actually charged have decreased significantly since 2007, which shows that the decreases in the price actually charged do not derive directly from the signed agreement, but rather are initiated for other reasons in previous years. The wide variety of prices actually charged depending on the client, year, quarter, and format, and even the differences observed for the same format depending on the client or year, reveal that it is difficult for prices to be determined by the management costs of advertising and even less so by the unit production costs, but rather by very different factors, such as the audience of the publication in which the advertisement is inserted and the negotiating power of the advertiser. In this sense, it is evident that the agreement strengthens the negotiating power of the parties involved against the advertisers and avoids competition between Magazine and XL Semanal for attracting the same.</w:t>
      </w:r>
    </w:p>
    <w:p>
      <w:r>
        <w:t>In any case, acknowledging that the agreement may generate the efficiencies previously mentioned, the Council considers that at least the exemption condition of Article 1.3 of the LDC is not met, which consists of the agreement not imposing on the parties restrictions that are not indispensable for achieving those recognized efficiencies. And the clauses included in HP 4 clearly do not meet this exemption requirement; that is, the obligation of the parties to agree on the rates and discounts applied and to jointly market products that compete with each other in attracting advertising. The parties have argued the indispensability of these restrictions by object in the fact that the agreement affects a narrow segment of the market and the advertising business of the signing companies, and that it does not affect the editorial line or the audiences of the supplements. The Council cannot share these claims, as the DI emphasizes, these circumstances may be relevant to justify that the agreement may not have significant restrictive effects in the national marketing market of advertising spaces in periodical publications, but not at the time of analyzing the indispensability of restrictions regarding the</w:t>
      </w:r>
    </w:p>
    <w:p>
      <w:r>
        <w:rPr>
          <w:b/>
        </w:rPr>
        <w:t>[Pages 13–15]</w:t>
      </w:r>
    </w:p>
    <w:p>
      <w:r>
        <w:t>efficiencies generated by an agreement. In short, therefore, the Council considers that the agreement does not meet all the exemption requirements of Article 1.3 of the LDC.</w:t>
      </w:r>
    </w:p>
    <w:p>
      <w:r>
        <w:t>Third.- Proposal of commitments presented and legal assessment of their adequacy</w:t>
      </w:r>
    </w:p>
    <w:p>
      <w:r>
        <w:t>The final proposal of commitments submitted by the parties, which is attached by the DI to the Proposal for conventional termination, involves eliminating the possibility of jointly contracting with a single rate and agreeing on the discounts applied, so that both the rate and the final price and any discounts that may be applied will be set by each of the parties to the agreement for the corresponding supplement.</w:t>
      </w:r>
    </w:p>
    <w:p>
      <w:r>
        <w:t>In particular, the companies against which this sanctioning file has been initiated propose as the first commitment the following modifications to the contract of December 21, 2009:</w:t>
        <w:br/>
        <w:t>- Modify clause 2.5, which is worded as follows: “the parties will set their rates independently. Both the rate, the final price, and any discounts will be set by each of the Parties independently, and always within their respective policies and pricing models in force at any given time. The commercial team may only apply the additional discounts necessary to achieve contracting within the margins and objective criteria that have been communicated each quarter, based on criteria of seasonality and volume and independently, by each of the Parties. Quarterly, the Parties will communicate to the commercial team, exclusively responsible for the marketing of the advertising spaces of the supplements “XL Semanal and Magazine,” the rates, the margins of the discounts that may be applied, and the objective criteria that must be used to apply said discounts.”</w:t>
        <w:br/>
        <w:t>- Eliminate clauses 2.6 and 2.7.</w:t>
        <w:br/>
        <w:t>- Remove from the rest of the clauses all references relating to the need to agree on commercial or pricing policies for the supplements subject to the agreement. This involves modifying the wording of the following clauses: 2.4; 4.2; and 6.1 (paragraphs 4 and 5), which are worded as follows:</w:t>
        <w:br/>
        <w:t>o Clause 2.4: “The activities will be carried out simultaneously by the two Commercial Offices and will be coordinated by the Team Director, for which purpose, periodic meetings will be held as necessary, with the Team Director responsible for supervising the actions of the commercial team. The Team Director will be in charge of coordinating and liaising with the persons designated by each party for the marketing of the Supplements, and, where appropriate, with the interlocutor designated for this purpose by the Publishers of the Supplements.”</w:t>
        <w:br/>
        <w:t>o Clause 4.2: “The Commercial Team is obliged to report on the development of its actions and to inform of everything that serves to highlight the results thereof, communicating daily to the Team Director the insertion orders received and sending a written summary of the evolution of the advertising monthly.”</w:t>
        <w:br/>
        <w:t>o Clause 6.1 paragraph four: “Regarding exchange advertising, exclusively referring to companies belonging to the respective Editorial Groups, the parties agree that each of the publishers, Taller de Editores LV Magazine, reserves the right to publish up to two weekly pages, each in their respective supplements, which will be billed by the publishers to the exchange clients and are therefore excluded from this agreement.”</w:t>
        <w:br/>
        <w:t>o Clause 6.1 paragraph five: “CM will bill and collect from the clients (advertiser, Agency, or Media Center) the amount corresponding to the advertising of the Parties marketed as provided in clause 2.5 of the Agreement.(…).”</w:t>
      </w:r>
    </w:p>
    <w:p>
      <w:r>
        <w:t>Furthermore, the second commitment specifies that:</w:t>
        <w:br/>
        <w:t>“The Parties undertake to create an ad hoc Billing Department to carry out the billing of the products subject to the Agreement. It will be a specific billing department functionally different from the rest of the products marketed by Corporación Multimedia Vocento, S.A.U., and even, where appropriate, included in a different company, which will be exclusively responsible for billing the sale of advertising spaces for the Sunday supplements XL El Semanal and Magazine. For these purposes, the head of the Billing Department and the team assigned to bill the advertising spaces of the Sunday supplements XL Semanal and Magazine will be obliged to comply with a confidentiality and secrecy commitment in which they undertake not to disclose the information received to the rest of the departments, personnel, or executives of Corporación Multimedia Vocento, S.A.U. or any of the companies of the Vocento Group. In this regard, a model of the confidentiality commitment that the independent billing team referred to in this section must sign is attached as Annex I to the CNC. Likewise, the members of this team will be required to have a personal access key for taking the billing data communicated by Grupo Godó. Similarly, as established in clause 14.2 of the Agreement, the Parties undertake to modify the Agreement in order to institutionalize the creation of the new billing department and ratify the modification previously exposed.”</w:t>
      </w:r>
    </w:p>
    <w:p>
      <w:r>
        <w:t>Finally, through the third commitment,</w:t>
        <w:br/>
        <w:t>“the parties undertake, for three years (unless the Agreement loses validity beforehand), to issue quarterly communication to the CNC in which each of the Parties, individually, establishes a template of rates and discount margins indicating the reduced margins that the Commercial Team will have to carry out its commercial activity. Likewise, the Parties will send to the CNC the objective criteria that must be used to apply said discounts.”</w:t>
      </w:r>
    </w:p>
    <w:p>
      <w:r>
        <w:t>In this regard, the parties have provided two models of guidelines, prepared separately by VOCENTO (folio 725) and GODÓ (folio 737), in which the objectives to be met by the commercial team for each supplement and the different discount margins that may be applied based on those objectives are set. The guidelines also set the billing percentages on which each of the discount tiers must be applied.</w:t>
      </w:r>
    </w:p>
    <w:p>
      <w:r>
        <w:t>The LDC requires that for the commitments proposed by the parties to constitute a form of termination of the sanctioning procedure regarding prohibited agreements and practices, the proposal of commitments (i) resolves the effects on competition arising from the behaviors subject to the file and (ii) sufficiently guarantees the public interest.</w:t>
      </w:r>
    </w:p>
    <w:p>
      <w:r>
        <w:t>The Council considers that the aforementioned commitments meet both requirements. In particular, the proposed commitments resolve the restrictive effects observed in the previous foundation, as they eliminate the obligation to jointly contract the Sunday supplements of VOCENTO and GODÓ with a single rate, as well as the obligation to agree on the discounts applied, so that both the rate and the final price and any discounts that may be applied will henceforth be set by each of the parties to the agreement for the corresponding supplement. Each contracting party will establish its commercial policy, and for those clients who wish to acquire the joint product, the sum of the individual prices decided autonomously by each party will be applied.</w:t>
      </w:r>
    </w:p>
    <w:p>
      <w:r>
        <w:t>In short, the modifications proposed by the parties to the content of the marketing contract by a single commercial team for the advertising spaces of the Sunday supplements XL El Semanal and Magazine allow this Council to conclude that it is not suitable for generating restrictive effects on competition in the considered significant markets, since by eliminating from the contractual content the clauses related or referred to the setting of prices and discounts as well as the obligation to jointly contract advertising in the aforementioned Sunday supplements, the parties retain full autonomy to independently decide their commercial policies regarding advertising.</w:t>
      </w:r>
    </w:p>
    <w:p>
      <w:r>
        <w:t>Regarding the requirement of sufficiently guaranteeing the public interest, the contract resulting from the implementation of the commitments proposed by the parties will maintain a joint commercial team, whose activity will be limited to the negotiation and management of advertising contracts for XL Semanal and Magazine, with a scope of action defined by each of the parties to the agreement, which, together with the confidentiality clauses included therein, minimizes the risk of exchanging sensitive commercial information between the parties or coordinating among themselves when establishing their commercial policies regarding advertising in their periodical publications.</w:t>
      </w:r>
    </w:p>
    <w:p>
      <w:r>
        <w:t>Additionally, the contract will maintain the joint billing of the advertising for the supplements XL Semanal and Magazine, which will be carried out by CM Vocento, to facilitate the management of the advertising in both supplements that is contracted.</w:t>
      </w:r>
    </w:p>
    <w:p>
      <w:r>
        <w:rPr>
          <w:b/>
        </w:rPr>
        <w:t>[Pages 16–17]</w:t>
      </w:r>
    </w:p>
    <w:p>
      <w:r>
        <w:t>simultaneously. However, the independence of the billing team is formally guaranteed through a confidentiality commitment and a limitation on access by CM Vocento personnel outside the billing team to the data corresponding to the supplement published by GODÓ.</w:t>
      </w:r>
    </w:p>
    <w:p>
      <w:r>
        <w:t>Under these conditions, the risks to competition are minimized while preserving the efficiencies presented by the contract, in a context of absence of relevant entry barriers to the market for the sale and publishing of periodical publications and of market power by the contracting parties, for which the Council understands that this requirement for conventional termination is met since, moreover, at this time the agreement has not had significant restrictive effects on competition in the market for the sale of advertising spaces in periodical publications nor in the press segment (daily + supplements), fundamentally due to the short period of time in which it has operated (1 year) and the noted geographical complementarity of the two supplements. Furthermore, the cooperation is limited to a minimal part of the advertising business in periodical publications of the parties, and the agreement refers to a narrow segment of the market for the sale of advertising spaces in written media.</w:t>
      </w:r>
    </w:p>
    <w:p>
      <w:r>
        <w:t>In short, the Council judges that the definitive commitments presented by the parties adequately resolve the potential restrictive effects that could arise from the contract subject to this sanctioning file and sufficiently guarantee the public interest.</w:t>
      </w:r>
    </w:p>
    <w:p>
      <w:r>
        <w:t>In light of the above, and having regard to the cited legal and regulatory provisions and those of general application, the Council of the National Competition Commission</w:t>
      </w:r>
    </w:p>
    <w:p>
      <w:r>
        <w:t>HAS RESOLVED</w:t>
      </w:r>
    </w:p>
    <w:p>
      <w:r>
        <w:t>FIRST.- To declare the conventional termination of the sanctioning file S/0246/10, considering the commitments presented by Grupo Godó de Comunicación, S.A., Publipress Media, S.L.U., Vocento, S.A., and Corporación Multimedia Vocento, S.A.U. adequate.</w:t>
      </w:r>
    </w:p>
    <w:p>
      <w:r>
        <w:t>These commitments, included in the Third Legal Basis of this Resolution, are binding for the companies mentioned in the previous resolve under the terms established in Article 52.2 of Law 15/2007, and their non-compliance constitutes a serious infringement in accordance with the provisions of Article 62.4.c) of the same Law.</w:t>
      </w:r>
    </w:p>
    <w:p>
      <w:r>
        <w:t>SECOND.- To entrust the Investigation Directorate of the National Competition Commission with the monitoring of this Resolution of conventional termination and, therefore, of the proposed commitments and the obligations imposed for the effective compliance with those.</w:t>
      </w:r>
    </w:p>
    <w:p>
      <w:r>
        <w:t>This Resolution shall be communicated to the Investigation Directorate and notified to the interested parties, informing them that no administrative appeal is available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