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https://www.cnmc.es/expedientes/s025310</w:t>
      </w:r>
    </w:p>
    <w:p>
      <w:r>
        <w:t>Pages translated : 7</w:t>
      </w:r>
    </w:p>
    <w:p/>
    <w:p>
      <w:r>
        <w:rPr>
          <w:b/>
        </w:rPr>
        <w:t>[Pages 1–3]</w:t>
      </w:r>
    </w:p>
    <w:p>
      <w:r>
        <w:t xml:space="preserve">RESOLUTION  </w:t>
        <w:br/>
        <w:t xml:space="preserve">(Expte. S/0253/10 HIERROS ANDALUCIA)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December 17, 2010  </w:t>
        <w:br/>
        <w:t xml:space="preserve">The Council of the National Competition Commission (the Council), with the composition expressed and being the Rapporteur Councilor Ms. María Jesús González López, has issued the following Resolution in the file S/0253/10 HIERROS ANDALUCIA, which arises from the information obtained during the inspection carried out at the registered office of Hierros Guadalquivir S.A. on July 9, 2008, according to which conduct contrary to Article 1 of Law 15/2007 of July 3, on the Defense of Competition may have occurred.  </w:t>
        <w:br/>
        <w:t xml:space="preserve">BACKGROUND  </w:t>
        <w:br/>
        <w:t xml:space="preserve">1. On October 6, 2009, the Investigation Directorate (DI) communicated to the legal representative of Hierros Guadalquivir, S.A., the incorporation of certain information obtained during the inspection carried out at its headquarters on July 9, 2008, which was part of file S/0106/08, a reserved information (reference number DP/35/09) that was being carried out in accordance with the provisions of Article 49.2 of Law 15/2007, of July 3, on the Defense of Competition (LDC).  </w:t>
        <w:br/>
        <w:t xml:space="preserve">The incorporated documentation corresponded to 3 emails dated April 4 and 30 and June 4, 2008, which alerted about the possible existence of an infringement of the LDC (folios 1 to 6).  </w:t>
        <w:br/>
        <w:t xml:space="preserve">2. On February 12, 2010, the DI requested information from the companies Hierros Isaga S.A., Hierros Godoy S.A., Hierros García Junco y Cía S.A., Laminados Siderúrgicos Sevilla S.A. (LASIDER), Marceliano Martín, Grupo Ros Casares S.L., Ferroinsa, and Grupsider to provide information on the geographical scope of their activity, their pricing policy, and to submit invoices (folios 8 to 46). The responses to the requests for information were received by the CNC between February 15 and March 16, 2010 (folios 47 to 1448).  </w:t>
        <w:br/>
        <w:t xml:space="preserve">3. On July 22, 2010, the DI sent a request for information to Hierros Guadalquivir S.A and Hierros Guadalquivir Construcción Sevilla to clarify certain information contained in the file regarding possible meetings of stockists (folios 1449 to 1461). The responses to the requests for information were received by the CNC on July 30, 2010 (folios 1465 to 1477).  </w:t>
        <w:br/>
        <w:t xml:space="preserve">4. On September 29, 2010, requests for information regarding possible meetings of stockists were made to Hierros Isaga S.A, Hierros Godoy S.A, Hierros García Junco y Cía, S.A, ARCELORMITTAL, Marceliano Martín, Grupo Ros Casares, S.L, Ferroinsa, and Grupsider (folios 1478 to 1515). The responses to such requests were received by the CNC between September 30 and October 26, 2010 (folios 1516 to 1527).  </w:t>
        <w:br/>
        <w:t xml:space="preserve">5. On October 19, 2010, the DI again requested information from Grupsider regarding the clarification of certain aspects of the previous request dated September 29 (folios 1528 to 1531), to which the response was received on November 3, 2010 (folio 1536).  </w:t>
        <w:br/>
        <w:t xml:space="preserve">6. Based on the information obtained during the inspection and that requested from the companies in the information requests described above, the DI conducts the analysis transcribed below and proposes to the Council the non-initiation of sanctioning proceedings and the filing of the actions carried out.  </w:t>
        <w:br/>
        <w:t xml:space="preserve">“2.2. ANALYZED FACTS  </w:t>
        <w:br/>
        <w:t xml:space="preserve">(17) The opening of the reserved information took place as a result of the content of three emails that contained information about possible agreements on setting a base price and delivering lists of unpaid debts, which were supposedly adopted in successive meetings over time among various iron stockists.  </w:t>
        <w:br/>
        <w:t xml:space="preserve">(18) The aforementioned emails were sent by two employees of the company Hierros Guadalquivir on April 4, April 30, and July 4, 2008. In them, the person who supposedly participated in the meetings called “construction stockists” and “stockists” informed the other employee about the attendees, the date of the upcoming meetings, as well as the topics discussed regarding the agreed base price and the list of unpaid debts (folios 5 to 7).  </w:t>
        <w:br/>
        <w:t xml:space="preserve">2.3. MARKET CHARACTERISTICS.  </w:t>
        <w:br/>
        <w:t xml:space="preserve">(19) The behaviors analyzed in this file affect the activity carried out by the stockists and distributors of iron in Andalusia, an activity that falls within the broader sector of metallurgy, which encompasses all operations related to the transformation of metals and the manufacture of derivative products. In turn, the metallurgical sector includes the steel industry, which comprises only iron producers, essentially different types of steel.  </w:t>
        <w:br/>
        <w:t xml:space="preserve">(20) The productive structure of the sector is composed of steel producers and, at a second level, iron stockists and distributors who market their products wholesale or retail. It is a heterogeneous sector integrated by both large companies and family businesses.  </w:t>
        <w:br/>
        <w:t xml:space="preserve">(21) The steel distribution market constitutes a differentiated market from the market of production and direct sale of steel, as orders in this market are of lower value, can respond more quickly to customer demands, and have a more local nature of distribution.  </w:t>
        <w:br/>
        <w:t xml:space="preserve">(22) As for the end customers, they are industries dedicated to construction, automotive, pipes, etc., that use their products as raw materials.  </w:t>
        <w:br/>
        <w:t xml:space="preserve">2.4. ASSESSMENT.  </w:t>
        <w:br/>
        <w:t xml:space="preserve">(23) Next, an analysis is conducted on the possible existence of an anticompetitive practice, consisting of a possible agreement to set the base price of iron and deliver lists of unpaid debts during the year 2008, within the sector of iron stockists in Andalusia, which could be contrary to Article 1 of Law 15/2007 of July 3, on the Defense of Competition, which prohibits “any agreement, decision or collective recommendation, or concerted or consciously parallel practice, that has as its object, produces or may produce the effect of preventing, restricting, or distorting competition in whole or in part of the national market and, in particular, those that consist of the direct or indirect fixing of prices or other commercial or service conditions.”  </w:t>
        <w:br/>
        <w:t>(24) As already noted, the opening of the reserved information took place as a result of the content of three emails that contained information about possible agreements on setting the base price, as well as about the delivery of lists of unpaid debts, which were supposedly adopted among various stockists in certain successive meetings.</w:t>
      </w:r>
    </w:p>
    <w:p>
      <w:r>
        <w:rPr>
          <w:b/>
        </w:rPr>
        <w:t>[Pages 4–6]</w:t>
      </w:r>
    </w:p>
    <w:p>
      <w:r>
        <w:t>(25) It should be noted that through the actions carried out by the Investigation Directorate, no additional evidentiary elements have been obtained.</w:t>
      </w:r>
    </w:p>
    <w:p>
      <w:r>
        <w:t>(26) Regarding the aforementioned emails, they were sent among the staff of a single company, so there are no communications between competitors or other additional information in the proceedings that could unequivocally confirm not only the existence of those alleged meetings between competitors but also their content and even the participating subjects.</w:t>
      </w:r>
    </w:p>
    <w:p>
      <w:r>
        <w:t>(27) Regarding those emails, Hierros Guadalquivir has stated that during the period referred to by said emails, the company had communicated the decision to close to the head of the Delegation of Construction in Seville and, therefore, the actions that its Delegate may have carried out during that period should be considered as individual conduct and unrelated to the company. Thus, Hierros Guadalquivir states in its clarification of information that: “Therefore, any action taken by Mr. Ángel Marín [head of the Delegation] was not considered by the Management, aware of the impending closure. In those months, neither his management, nor his proposals, nor his meetings were strategic or important for the Management of HG, knowing of the immediate and forthcoming disappearance of the Delegation, and that is why there was that lack of attention to it.” (folio 1466). Hierros Guadalquivir adds that, as a consequence of this circumstance, it is unaware of the remaining information requested by the Investigation Directorate regarding the alleged meetings (folio 1467).</w:t>
      </w:r>
    </w:p>
    <w:p>
      <w:r>
        <w:t>(28) However, it should be noted that there is no information in the proceedings that could prove that this person was working outside the company Hierros Guadalquivir and without consideration from it. In fact, from the responses that appear in the emails, it does not seem to be deduced that such a person was working outside the company, but rather what seems to be inferred from them is that Ángel Marín reported to Alberto Fernández and that he did not express any contrary opinion nor indicated or warned that what was reported could constitute behavior contrary to competition.</w:t>
      </w:r>
    </w:p>
    <w:p>
      <w:r>
        <w:t>(29) On the other hand, the other companies that, according to the emails, had attended the “construction stockists” or “stockists” meetings in which such agreements were supposedly adopted, have stated that they have no knowledge of them, are unaware of their existence, did not participate in them, or do not have information about them, and therefore do not provide the requested information or any other type of additional information.</w:t>
      </w:r>
    </w:p>
    <w:p>
      <w:r>
        <w:t>(30) In any case, it has also not been proven from the analysis of the invoices provided by the requested companies, the existence or application of agreements for the setting of the base price for their products.</w:t>
      </w:r>
    </w:p>
    <w:p>
      <w:r>
        <w:t>(31) Therefore, in light of the above, from the actions carried out by the Investigation Directorate, it does not emerge with the necessary certainty required by law, who could have been the authors/participants of the agreement, nor the exact content of it, nor even the existence of the agreement and the meetings referred to in the emails, necessary evidence to attribute responsibilities for an infringement of Article 1 LDC, since there are no more evidentiary elements than some internal emails between employees of one of the stockist companies, Hierros Guadalquivir, in which reference is made to meetings of stockists, to an agreement and a base, information from which the existence of an anticompetitive agreement cannot be unequivocally deduced. Therefore, there is insufficient direct evidence to prove the conduct, both from an objective and subjective perspective.</w:t>
      </w:r>
    </w:p>
    <w:p>
      <w:r>
        <w:t>(32) The absence of direct evidence regarding an agreement would make it necessary to resort to presumptive evidence. In this sense, the jurisprudential doctrine has repeatedly stated that in order to apply presumptive evidence, it is necessary to meet a series of requirements. However, in the present case, not even the first of the requirements can be considered fulfilled since the underlying facts or indications of the analyzed conduct have not been fully demonstrated.</w:t>
      </w:r>
    </w:p>
    <w:p>
      <w:r>
        <w:t>(33) In conclusion, although if the aforementioned conducts had been proven, they would have a marked anticompetitive character, in the information contained in the file there is no evidence of the adoption of such an agreement to set a base price among the requested companies nor of their participation in the alleged meetings in which such agreements were adopted, so it cannot be considered proven that a practice contrary to Article 1 of the LDC was carried out.</w:t>
      </w:r>
    </w:p>
    <w:p>
      <w:r>
        <w:t>(34) Finally, it should be noted that recently, in May 2010, the Council of the CNC imposed a sanction in the iron distribution sector in Spain. Specifically, the Union of Iron Stockists of Spain was sanctioned for the existence of conduct prohibited by competition law consisting of recommending and adopting a billing system for its members that set the surcharges to be applied to customers, their minimum amount, and the conditions for such application, and also consisting of adopting and disseminating among its members models of letters regarding payment alternatives to be offered to customers during the holiday period. The companies investigated in the present file belong to the UAHE with the exception of H. Godoy and Ferroinsa. Therefore, and after the aforementioned inspection and sanction to the UAHE, it also does not seem viable today to reach the accreditation of the authorship of the alleged anticompetitive conducts, necessary accreditation to attribute responsibilities for an infringement of Article 1.</w:t>
      </w:r>
    </w:p>
    <w:p>
      <w:r>
        <w:t>7. The Council deliberated and issued this resolution on December 15, 2010.</w:t>
      </w:r>
    </w:p>
    <w:p>
      <w:r>
        <w:t>LEGAL GROUNDS</w:t>
      </w:r>
    </w:p>
    <w:p>
      <w:r>
        <w:t>First.- Article 49.3 of the Competition Defense Law (LDC) provides that the Council of the National Competition Commission, at the proposal of the DI, may not initiate proceedings derived from the alleged commission of the conducts prohibited by Articles 1, 2, and 3 of this Law and archive the actions that have been carried out when it does not find indications of infringement of the LDC in the investigated facts. Furthermore, Article 25.5 of the Competition Defense Regulation (RDC), approved by Royal Decree 261/2008, of February 22 (BOE 27.02.2008), provides that the decision not to initiate the procedure of the Council of the CNC, at the proposal of the DI, must be communicated to the complainant, indicating the reasons why the initiation of the procedure does not proceed in accordance with the provisions of Article 49 of the LDC.</w:t>
      </w:r>
    </w:p>
    <w:p>
      <w:r>
        <w:t>In this file, the DI proposes to the Council not to initiate the sanctioning procedure and to archive the reserved information actions carried out, because it states that there is not sufficient direct evidence to prove the conduct, both from an objective and subjective perspective.</w:t>
      </w:r>
    </w:p>
    <w:p>
      <w:r>
        <w:t>Second.- The Council of the CNC, having reviewed the information contained in the file and the assessments made by the DI in its report, agrees with it on the appropriateness of not initiating sanctioning proceedings and proceeding, in accordance with the provisions of Article 49.3 of the LDC, to archive the actions it has carried out.</w:t>
      </w:r>
    </w:p>
    <w:p>
      <w:r>
        <w:rPr>
          <w:b/>
        </w:rPr>
        <w:t>[Pages 7–7]</w:t>
      </w:r>
    </w:p>
    <w:p>
      <w:r>
        <w:t>The Council considers that the DI adequately assessed that the emails found at the headquarters of HIERROS GUADALQUIVIR alerted to possible agreements among a series of iron stockists in Andalusia regarding base prices and lists of defaulters, contrary to competition rules.</w:t>
      </w:r>
    </w:p>
    <w:p>
      <w:r>
        <w:t>The Council understands that the information contained in the aforementioned emails could have been considered sufficient evidence to proceed with the initiation of a sanctioning procedure, without prejudging its outcome.</w:t>
      </w:r>
    </w:p>
    <w:p>
      <w:r>
        <w:t>However, the Council considers that given the time elapsed since the acquisition of the aforementioned documents, July 2008, and the moment when the DI proceeded to open the reserved information, October 2009, as well as the fact that a sanctioning procedure against the Union of Iron Stockists of Spain, to which most of the possible parties involved in the conduct belong, was underway and in an advanced state of processing at that time, it explains why the DI proceeded with a prior verification regarding the viability of the sanctioning procedure before proceeding with the initiation.</w:t>
      </w:r>
    </w:p>
    <w:p>
      <w:r>
        <w:t>The inquiry carried out by the DI has not resulted in the discovery of sufficient evidentiary elements, so the Council considers the proposal of the DI to be appropriate and in accordance with the law to, in compliance with Article 49.3 of the LDC, not initiate a sanctioning procedure and proceed to archive the actions carried out in the file S/0253/10 Hierros Andalucía.</w:t>
      </w:r>
    </w:p>
    <w:p>
      <w:r>
        <w:t>Consequently, in view of the cited provisions and other generally applicable ones, the Council of the National Competition Commission</w:t>
      </w:r>
    </w:p>
    <w:p>
      <w:r>
        <w:t>RESOLVES</w:t>
      </w:r>
    </w:p>
    <w:p>
      <w:r>
        <w:t>SOLE.- Not to initiate a sanctioning procedure and to archive the actions followed by the Investigation Directorate in the file S/0253/10 Hierros Andalucía.</w:t>
      </w:r>
    </w:p>
    <w:p>
      <w:r>
        <w:t>This Resolution shall be communicated to the Investigation Directorate and notified to the parties, informing them that no administrative appeal can be lodged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