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https://www.cnmc.es/expedientes/s025410</w:t>
      </w:r>
    </w:p>
    <w:p>
      <w:r>
        <w:t>Pages translated : 53</w:t>
      </w:r>
    </w:p>
    <w:p/>
    <w:p>
      <w:r>
        <w:rPr>
          <w:b/>
        </w:rPr>
        <w:t>[Pages 1–3]</w:t>
      </w:r>
    </w:p>
    <w:p>
      <w:r>
        <w:t>of the present sanctioning file” (folios 815 a 816).</w:t>
      </w:r>
    </w:p>
    <w:p>
      <w:r>
        <w:t>18. El 24 de junio de 2011, la AAHE presentó alegaciones al PCH (folios 817 a 844), que fueron contestadas por la DI el 8 de julio de 2011 (folios 845 a 860).</w:t>
      </w:r>
    </w:p>
    <w:p>
      <w:r>
        <w:t>19. El 15 de julio de 2011, la UAHE presentó alegaciones al PCH (folios 861 a 878), que fueron contestadas por la DI el 29 de julio de 2011 (folios 879 a 894).</w:t>
      </w:r>
    </w:p>
    <w:p>
      <w:r>
        <w:t>20. El 5 de agosto de 2011, la DI emitió un informe sobre las alegaciones presentadas por ambas asociaciones (folios 895 a 912).</w:t>
      </w:r>
    </w:p>
    <w:p>
      <w:r>
        <w:t>21. El 12 de agosto de 2011, se celebró una reunión entre la DI y los representantes de la AAHE y la UAHE para discutir las alegaciones y la información presentada (folio 913).</w:t>
      </w:r>
    </w:p>
    <w:p>
      <w:r>
        <w:t>22. El 30 de agosto de 2011, la DI presentó un nuevo informe que incluía las observaciones realizadas durante la reunión del 12 de agosto (folios 914 a 930).</w:t>
      </w:r>
    </w:p>
    <w:p>
      <w:r>
        <w:t>23. El 15 de septiembre de 2011, la AAHE presentó un escrito solicitando la inclusión de nuevos documentos en el expediente (folios 931 a 948).</w:t>
      </w:r>
    </w:p>
    <w:p>
      <w:r>
        <w:t>24. El 22 de septiembre de 2011, la DI resolvió inadmitir la solicitud de la AAHE (folios 949 a 950).</w:t>
      </w:r>
    </w:p>
    <w:p>
      <w:r>
        <w:t>25. El 30 de septiembre de 2011, se notificó a las partes la resolución de inadmisión (folio 951).</w:t>
      </w:r>
    </w:p>
    <w:p>
      <w:r>
        <w:t>26. El 10 de octubre de 2011, la AAHE presentó un recurso contra la resolución de inadmisión (folios 952 a 968).</w:t>
      </w:r>
    </w:p>
    <w:p>
      <w:r>
        <w:t>27. El 20 de octubre de 2011, la DI emitió un informe sobre el recurso presentado por la AAHE (folios 969 a 985).</w:t>
      </w:r>
    </w:p>
    <w:p>
      <w:r>
        <w:t>28. El 28 de octubre de 2011, el Consejo de la CNC resolvió desestimar el recurso interpuesto por la AAHE (folios 986 a 1000).</w:t>
      </w:r>
    </w:p>
    <w:p>
      <w:r>
        <w:t>29. El 15 de noviembre de 2011, se notificó a la AAHE la resolución del Consejo (folio 1001).</w:t>
      </w:r>
    </w:p>
    <w:p>
      <w:r>
        <w:t>30. El 30 de noviembre de 2011, la AAHE presentó un nuevo escrito solicitando la revisión de la resolución del Consejo (folios 1002 a 1018).</w:t>
      </w:r>
    </w:p>
    <w:p>
      <w:r>
        <w:t>31. El 15 de diciembre de 2011, la DI emitió un informe sobre la solicitud de revisión (folios 1019 a 1035).</w:t>
      </w:r>
    </w:p>
    <w:p>
      <w:r>
        <w:t>32. El 20 de diciembre de 2011, el Consejo de la CNC resolvió inadmitir la solicitud de revisión presentada por la AAHE (folios 1036 a 1040).</w:t>
      </w:r>
    </w:p>
    <w:p>
      <w:r>
        <w:t>33. El 10 de enero de 2012, se notificó a la AAHE la resolución de inadmisión (folio 1041).</w:t>
      </w:r>
    </w:p>
    <w:p>
      <w:r>
        <w:t>34. El 14 de febrero de 2012, la AAHE presentó un nuevo recurso contra la resolución de inadmisión (folios 1042 a 1058).</w:t>
      </w:r>
    </w:p>
    <w:p>
      <w:r>
        <w:t>35. El 28 de febrero de 2012, la DI emitió un informe sobre el recurso presentado por la AAHE (folios 1059 a 1075).</w:t>
      </w:r>
    </w:p>
    <w:p>
      <w:r>
        <w:t>36. El 14 de marzo de 2012, el Consejo de la CNC resolvió desestimar el recurso interpuesto por la AAHE (folios 1076 a 1090).</w:t>
      </w:r>
    </w:p>
    <w:p>
      <w:r>
        <w:t>37. El 30 de marzo de 2012, se notificó a la AAHE la resolución del Consejo (folio 1091).</w:t>
      </w:r>
    </w:p>
    <w:p>
      <w:r>
        <w:t>38. El 14 de abril de 2012, la AAHE presentó un nuevo escrito solicitando la revisión de la resolución del Consejo (folios 1092 a 1108).</w:t>
      </w:r>
    </w:p>
    <w:p>
      <w:r>
        <w:t>39. El 30 de abril de 2012, la DI emitió un informe sobre la solicitud de revisión (folios 1109 a 1125).</w:t>
      </w:r>
    </w:p>
    <w:p>
      <w:r>
        <w:t>40. El 14 de mayo de 2012, el Consejo de la CNC resolvió inadmitir la solicitud de revisión presentada por la AAHE (folios 1126 a 1130).</w:t>
      </w:r>
    </w:p>
    <w:p>
      <w:r>
        <w:t>41. El 30 de mayo de 2012, se notificó a la AAHE la resolución de inadmisión (folio 1131).</w:t>
      </w:r>
    </w:p>
    <w:p>
      <w:r>
        <w:t>42. El 14 de junio de 2012, se celebró una reunión del Consejo para la adopción de la presente resolución (folio 1132).</w:t>
      </w:r>
    </w:p>
    <w:p>
      <w:r>
        <w:t>43. En virtud de lo expuesto, el Consejo de la CNC, en uso de las atribuciones que le confiere la legislación vigente, ha resuelto:</w:t>
      </w:r>
    </w:p>
    <w:p>
      <w:r>
        <w:t>1. Imponer a la AAHE y a la UAHE una multa de 1.000.000 euros por la comisión de prácticas restrictivas de la competencia en virtud de lo dispuesto en el artículo 1 de la LDC 2007 y de la LDC 1989 y el artículo 101 del TFUE.</w:t>
      </w:r>
    </w:p>
    <w:p>
      <w:r>
        <w:t>2. Notificar la presente resolución a las partes y publicar un resumen de la misma en el Boletín Oficial del Estado.</w:t>
      </w:r>
    </w:p>
    <w:p>
      <w:r>
        <w:t>3. Advertir a las partes que contra esta resolución cabe interponer recurso contencioso-administrativo ante la Audiencia Nacional en el plazo de dos meses a contar desde el día siguiente al de su notificación.</w:t>
      </w:r>
    </w:p>
    <w:p>
      <w:r>
        <w:t>Así lo acuerda y firma el Consejo de la Comisión Nacional de la Competencia, en Madrid, a 14 de junio de 2012.</w:t>
      </w:r>
    </w:p>
    <w:p>
      <w:r>
        <w:rPr>
          <w:b/>
        </w:rPr>
        <w:t>[Pages 4–6]</w:t>
      </w:r>
    </w:p>
    <w:p>
      <w:r>
        <w:t>2011, así como de la infracción relativa a la decisión de establecer una tarifa de precios mínimos para determinados productos.</w:t>
      </w:r>
    </w:p>
    <w:p>
      <w:r>
        <w:t>Cuarto. Que se declare responsable a la UAHE de la infracción relativa a los intercambios de información anticompetitivos.</w:t>
      </w:r>
    </w:p>
    <w:p>
      <w:r>
        <w:t>Quinto. Que se impongan las sanciones correspondientes a la AAHE y a la UAHE, de acuerdo con lo establecido en el artículo 63 de la LDC, y que se considere la posibilidad de aplicar la reducción de la sanción en virtud de lo dispuesto en el artículo 66 de la LDC.</w:t>
      </w:r>
    </w:p>
    <w:p>
      <w:r>
        <w:t>Sexto. Que se notifique la resolución a las partes y se publique en el Boletín Oficial del Estado, de conformidad con lo dispuesto en el artículo 50.5 de la LDC.</w:t>
      </w:r>
    </w:p>
    <w:p>
      <w:r>
        <w:rPr>
          <w:b/>
        </w:rPr>
        <w:t>[Pages 7–9]</w:t>
      </w:r>
    </w:p>
    <w:p>
      <w:r>
        <w:t>2006 and to establish a minimum price list for certain specific products, and that both the AAHE and the UAHE be declared responsible for the infringement related to the exchange of information.</w:t>
      </w:r>
    </w:p>
    <w:p>
      <w:r>
        <w:t>Fourth. That each of them be imposed the sanction provided for in article 63 of the LDC, taking into account the criteria for determining the sanction set forth in article 64 of the LDC."</w:t>
      </w:r>
    </w:p>
    <w:p>
      <w:r>
        <w:t>36. On April 11, 2012, the Council of the CNC agreed to send information to the European Commission in accordance with the provisions of article 11.4 of Regulation (EC) No 1/2003 of the Council of December 16, 2002, which took place on April 13 (page 1418). It was also agreed to suspend the deadline for resolving the procedure, which is imposed by article 37.2.c) of the LDC, effective from April 13, 2012, with the computation of the deadline resuming on May 14, 2012, which was notified to the parties (page 1432).</w:t>
      </w:r>
    </w:p>
    <w:p>
      <w:r>
        <w:t>37. On May 4, 2012, a letter was received from the UAHE requesting access to the file along with a justification for, if applicable, the denial of such access (pages 1422 to 1423), a request that was reiterated on May 11 (pages 1430 to 1431).</w:t>
      </w:r>
    </w:p>
    <w:p>
      <w:r>
        <w:t>38. On May 16, 2012, a new letter from the UAHE was received at the CNC reiterating the request for a hearing, unless it was not intended to impose a sanction, made in its allegations to the IPR of the DI (pages 1436 to 1437).</w:t>
      </w:r>
    </w:p>
    <w:p>
      <w:r>
        <w:t>39. Finally, in parallel to the instruction of this file, on May 17, 2010, the Council adopted a sanctioning resolution in file S/0106/08, Iron Warehouses, declaring the existence of two prohibited conducts as per article 1.1 of Law 16/1989, of July 17, on the Defense of Competition, and article 101.1 of the Treaty on the Functioning of the European Union, for which the Union of Iron Warehousers of Spain (UAHE) was responsible.</w:t>
      </w:r>
    </w:p>
    <w:p>
      <w:r>
        <w:t>40. The Council concluded the deliberation and ruled on this file in its meeting of June 6, 2012.</w:t>
      </w:r>
    </w:p>
    <w:p>
      <w:r>
        <w:t>41. The interested parties are:</w:t>
        <w:br/>
        <w:t>- The Association of Iron Warehousers of Extremadura, AAHE.</w:t>
        <w:br/>
        <w:t>- The Union of Iron Warehousers of Spain, UAHE.</w:t>
      </w:r>
    </w:p>
    <w:p>
      <w:r>
        <w:rPr>
          <w:b/>
        </w:rPr>
        <w:t>[Pages 10–12]</w:t>
      </w:r>
    </w:p>
    <w:p>
      <w:r>
        <w:t>Regarding the specific role of the Secretary of the Association, the Bylaws provide (Article 19) that for the constitution of the General Assembly, the highest governing body of the Association, the attendance of the President of the Association and the Secretary or their legally appointed substitutes is required in all cases. The Secretary records the minutes of each meeting, reflecting the agreements adopted, as well as a summary of the opinions expressed, when they are not obtained by unanimous agreement or when requested by the attendees (Article 22), and these must be signed by the President and the Secretary (pages 961 and 962). The Secretary is appointed by the Board of Directors (Article 23.5.f of the Bylaws, page 963). Article 27 further specifies the following functions of the Secretary of the Association: “a) Ensure that the association complies with the law, warning of possible cases of illegality that could arise from the acts and agreements intended to be adopted, by means of a note in the file or verbally at the meeting; b) Convene, in the name of the President, the meetings of the governing bodies of the association; c) Draft the minutes of the governing bodies, signing them with the President; d) Safeguard the Book of Minutes and the Register of Members and issue certifications of their contents; e) Carry out the executive tasks determined by the governing bodies; f) Exercise authority over technical, administrative, and subordinate personnel, representing the governing bodies.”</w:t>
      </w:r>
    </w:p>
    <w:p>
      <w:r>
        <w:t>Dª [XXX] was and, in principle, continues to be the General Secretary and Manager of the UAHE.</w:t>
      </w:r>
    </w:p>
    <w:p>
      <w:r>
        <w:t>SECOND – The sector</w:t>
      </w:r>
    </w:p>
    <w:p>
      <w:r>
        <w:t>The behaviors analyzed in this file affect the activity carried out by the iron warehousers in the Extremadura area, an activity that falls within the broader sector of metallurgy, which encompasses all operations related to the transformation of metals and the manufacture of derived products. In turn, the metallurgical sector includes the more specific sector of steelmaking, where only iron products, essentially different types of steel, are included.</w:t>
      </w:r>
    </w:p>
    <w:p>
      <w:r>
        <w:t>Regarding the productive structure of the affected sector, at the first level are the steel producers from iron ore (blast furnaces) or scrap (electric furnaces) who, after various processes of industrial reconversion, usually belong to large international groups (Arcelor Mittal, Grupo Alfonso Gallardo, or Acerinox). In Spain, they are grouped in the Union of Steel Companies (Unesid).</w:t>
      </w:r>
    </w:p>
    <w:p>
      <w:r>
        <w:t>At the second level are the iron warehousers and distributors, who market these steel products wholesale or retail. Within this category, large vertically integrated international groups that are also active in the distribution and warehousing market would also be included. Therefore, it is a heterogeneous sector made up of both large companies and family businesses. In Spain, they are grouped in the Union of Iron Warehousers of Spain (UAHE) and, at the regional level, in regional warehousing associations, such as AAHE.</w:t>
      </w:r>
    </w:p>
    <w:p>
      <w:r>
        <w:t>The end customers of this sector are industries that use their products as raw materials, which would include construction, automotive, mechanical engineering, tubes, metal ceramics, structural steelworks, etc.</w:t>
      </w:r>
    </w:p>
    <w:p>
      <w:r>
        <w:t>The economic sector affected by the behaviors analyzed in this file is the steel sector, and in particular, the distribution of steel, in which the companies associated with the AAHE and UAHE are active. Therefore, the functioning of this market, as well as that of the upstream market for the production and marketing of steel, directly related to the former, is briefly analyzed below.</w:t>
      </w:r>
    </w:p>
    <w:p>
      <w:r>
        <w:t>(i) Production and marketing of steel</w:t>
      </w:r>
    </w:p>
    <w:p>
      <w:r>
        <w:t>Steel is an alloy of iron with other non-metallic (carbon, silicon, phosphorus, sulfur, etc.) and metallic elements (manganese, titanium, chromium, nickel, molybdenum, etc.), whose precise composition allows for the production of one product or another. The final product of companies dedicated to the production and marketing of steel consists of both different types of steel and first transformation products. In particular, three types of steel are distinguished, which present significant differences in terms of prices, chemical composition, fields of application, and configuration of production plants: stainless steels, alloyed steels, and carbon steels. From carbon steels, two types of products are obtained depending on their manufacturing: semi-finished products and final carbon steel products.</w:t>
      </w:r>
    </w:p>
    <w:p>
      <w:r>
        <w:t>Semi-finished products are obtained in an initial phase of production, are not suitable for commercial use, and require a hot rolling process for the manufacture of finished or final products. On the other hand, final carbon steel products undergo a prior hot rolling process that consists of passing the material between two cylinders or rollers, which rotate at the same speed and in opposite directions, and reducing the cross-section of the steel product through the pressure exerted by them, giving it the final shape. In this way, a series of finished products are obtained that differ in thickness, length, and treatment and are manufactured in different rolling mills, with significant differences in terms of their final applications and prices, thus being segmented into two categories: long and flat carbon steel products:</w:t>
      </w:r>
    </w:p>
    <w:p>
      <w:r>
        <w:t>a. Flat products: coils and sheets, among others, used in the automotive industry and in various industrial applications (household appliances, packaging, civil engineering, and mechanical constructions).</w:t>
      </w:r>
    </w:p>
    <w:p>
      <w:r>
        <w:t>b. Long products: beams, profiles, bars, wire rod, cables, wires, and meshes, primarily used in construction and infrastructure.</w:t>
      </w:r>
    </w:p>
    <w:p>
      <w:r>
        <w:t>Finally, it is necessary to point out that long steel products for the reinforcement of reinforced concrete structures are distinguished from other long carbon steel products both by their physical and technical properties. The three products that make up this category would be wire rod, rebar in bars, and rebar in coils, and they are used with the same and sole purpose of reinforcing concrete for construction.</w:t>
      </w:r>
    </w:p>
    <w:p>
      <w:r>
        <w:t>(ii) Distribution of steel</w:t>
      </w:r>
    </w:p>
    <w:p>
      <w:r>
        <w:t>The steel distribution market constitutes a market differentiated from the market for the production and direct sale of steel, as orders in the distribution market are of lower value, distributors can respond more quickly to their customers' demands, distribution may have a more local geographical nature than direct sales, and there are a large number of distributing companies of very varied sizes and areas of operation. Likewise, distribution operations have their own characteristics; steel distributors are not mere sales agencies as there are a high number of independent (non-integrated) distributors in the European Union.</w:t>
      </w:r>
    </w:p>
    <w:p>
      <w:r>
        <w:t>Steel distribution can be segmented based on two criteria: the distribution network and the type of product distributed. The distribution networks used can be as follows:</w:t>
      </w:r>
    </w:p>
    <w:p>
      <w:r>
        <w:t>a. Service centers: purchase the raw product directly from producers and cut and process the material to adapt it to customer requirements, thus supplying customers of all sizes, including storage centers.</w:t>
      </w:r>
    </w:p>
    <w:p>
      <w:r>
        <w:t>b. Storage centers: purchase the raw product from producers and resell it in smaller quantities to customers whose needs are not large enough to buy directly from steel producers or service centers.</w:t>
      </w:r>
    </w:p>
    <w:p>
      <w:r>
        <w:rPr>
          <w:b/>
        </w:rPr>
        <w:t>[Pages 13–15]</w:t>
      </w:r>
    </w:p>
    <w:p>
      <w:r>
        <w:t>c. Cutting Centers: these are specialized distribution facilities, specifically for plates with thicknesses between 8 and 6,000 millimeters.</w:t>
      </w:r>
    </w:p>
    <w:p>
      <w:r>
        <w:t>In relation to the type of product distributed, the market for the distribution of carbon steel products could be segmented into long and flat products, and again, concerning the former, the processing and distribution of products for concrete reinforcement has different characteristics.</w:t>
      </w:r>
    </w:p>
    <w:p>
      <w:r>
        <w:t>As for the structure of the supply in the Spanish steel distribution market, particularly for long carbon steel products through storage centers, it is highly atomized, with no company holding a market share greater than 10% in Spain, and there is a significant presence of small warehouses in the market. Suppliers operating in the market are part of large distribution groups and even distributors integrated into large global manufacturers, such as Arcelor Mittal Distribution SL.</w:t>
      </w:r>
    </w:p>
    <w:p>
      <w:r>
        <w:t>On the other hand, the demand for steel distribution, particularly for long carbon steel products through warehouses, is predominantly made up of companies in the construction and infrastructure sector, resulting in a highly atomized demand in terms of the number and size of customers. Such customers require a variable supply, not excessively large in volume, and a quick response from the distributor. Agreements are not exclusive supply contracts, and prices are generally negotiated for each transaction.</w:t>
      </w:r>
    </w:p>
    <w:p>
      <w:r>
        <w:t>This is a market in a phase of maturity, where the customer is clearly volatile and not characterized by loyalty to distributors, as their choice is fundamentally based on price and speed of delivery service, rather than on product quality or brand, since all distributors offer a product of homogeneous quality. The distributors themselves purchase from various producers depending on the price they are offered, as the product itself has very similar characteristics.</w:t>
      </w:r>
    </w:p>
    <w:p>
      <w:r>
        <w:t>Customers in this market do not operate through stable contracts, but rather typically operate through new orders, with prices set each time, so that the customer does not incur switching costs.</w:t>
      </w:r>
    </w:p>
    <w:p>
      <w:r>
        <w:t>Finally, the market for the distribution of steel products is characterized by the absence of significant access restrictions to the market for the distribution of long carbon steel products through storage centers, with only the initial investment in storage facilities being noteworthy. Aside from that, there are no legal, technological, or any other type of barriers that render the market impermeable.</w:t>
      </w:r>
    </w:p>
    <w:p>
      <w:r>
        <w:t>THIRD. Accredited Facts</w:t>
      </w:r>
    </w:p>
    <w:p>
      <w:r>
        <w:t>The DI in its IPR includes the accredited facts transcribed in the PCH, which are reproduced below:</w:t>
      </w:r>
    </w:p>
    <w:p>
      <w:r>
        <w:t>“5. ACCREDITED FACTS</w:t>
      </w:r>
    </w:p>
    <w:p>
      <w:r>
        <w:t>5.1. On March 23, 2006, an informal meeting was held within the Association of Iron Warehousers of Extremadura (AAHE), where it was decided to raise prices at a specific point in time, facts that were communicated by the President of the AAHE to the Secretary of the UAHE via email on March 27, 2006. Additionally, in that email of March 27, it is mentioned that within the AAHE there are agreements that the President of the AAHE confirms are to itemize in the invoices issued to customers the cost of all services actually provided and differentiate them from the sale price of the product.</w:t>
      </w:r>
    </w:p>
    <w:p>
      <w:r>
        <w:t>(37) On March 23, 2006, a General Assembly meeting of the Association was held (...) to which the UAHE attended as a guest with the aim of informing the members of the Association about the functions, purpose, and objectives of the UAHE, to attract new members according to the AAHE, “the meeting was opened by the President of the UAHE, Mr. [XXX], making a PowerPoint presentation on the Union of Iron Warehousers of Spain, in which he explained what the objectives of the UAHE are and what the UAHE is for.” (page 314).</w:t>
      </w:r>
    </w:p>
    <w:p>
      <w:r>
        <w:t>(38) Following the General Assembly meeting, on the same day, the attendees held another meeting in which they decided to raise prices starting Monday, March 27, 2006. This is indicated by the President of the AAHE (Mr. [XXX]) in the email sent on March 27, 2006, to the Secretary of the UAHE (Ms. [XXX]): “Then we had a mini meeting (...) discussing the topics that had been addressed in the meeting and we decided to raise prices starting today, Monday.” (page 5).</w:t>
      </w:r>
    </w:p>
    <w:p>
      <w:r>
        <w:t>(39) Likewise, in response to the information request dated October 13, which expressly requested information about the content of the aforementioned email, and more specifically about what the agreements consisted of, who participated in the meeting, and the products to which the price increase would apply, the President of the Association stated: (page 345),</w:t>
      </w:r>
    </w:p>
    <w:p>
      <w:r>
        <w:t>“In any case, what I can assure you with total sincerity is that in that meeting (held after the General Assembly and the lunch that followed it) no agreements were adopted that could in any way bind the different members of the Extremadura association, it was simply colloquially discussed by those present (who, let us remember, are competitors in our market) the possibility of raising the prices of our products after having become aware of the situation in which our sector was actually found due to the PowerPoint presentation made by the President of the UAHE, Mr. [XXX].” (emphasis added)</w:t>
      </w:r>
    </w:p>
    <w:p>
      <w:r>
        <w:t>(40) Also, in the aforementioned email of March 27, 2006, reference is made to other agreements of the AAHE. The following part of the email is transcribed: “I can also tell you that we have managed at the level of the Association of Extremadura, to have a meeting with him [XXX] in Jerez de los Caballeros, so that his warehouse participates in all the agreements we have obtained and he is going to show us the factory and the works of what will be the new Steelworks with an invitation to lunch and everything. What do you think we do when we reach certain ages? (emphasis added)”</w:t>
      </w:r>
    </w:p>
    <w:p>
      <w:r>
        <w:t>(41) In this regard, the President of the AAHE has indicated in response to the request sent that “the agreements reached by the Association, to which a generic reference is made in the aforementioned email, basically consisted of highlighting the convenience for the members of the association to itemize in the invoices issued to our customers the cost of all services that were actually provided and differentiate them from the sale price of the product, without entering into any decision regarding the prices and costs that each company freely charged to its customers” (page 346) (emphasis added).</w:t>
      </w:r>
    </w:p>
    <w:p>
      <w:r>
        <w:t>5.2. On June 14, 2006, a General Assembly meeting of the AAHE took place in which it was decided to establish a minimum price list for certain products and it was recommended to the members to pass on the price of fuel and the Euribor in their commercial margins. The content of that meeting was also communicated by</w:t>
      </w:r>
    </w:p>
    <w:p>
      <w:r>
        <w:rPr>
          <w:b/>
        </w:rPr>
        <w:t>[Pages 16–18]</w:t>
      </w:r>
    </w:p>
    <w:p>
      <w:r>
        <w:t>date, remitido por la Gerente Secretaria de la UAHE al Presidente de la Asociación: "Gracias por las noticias que me cuentas, que son además buenísimas, más todavía teniendo en cuenta los tiempos que corren." (folio 8). Además, se añadió el intento de la UAHE de animar en una reunión con los almacenistas de Castilla-León al cobro por los servicios.</w:t>
      </w:r>
    </w:p>
    <w:p>
      <w:r>
        <w:rPr>
          <w:b/>
        </w:rPr>
        <w:t>[Pages 19–21]</w:t>
      </w:r>
    </w:p>
    <w:p>
      <w:r>
        <w:t>date, the UAHE was also trying to consolidate the situation of the services to be charged.</w:t>
      </w:r>
    </w:p>
    <w:p>
      <w:r>
        <w:t>“Thank you for the news you tell me, which is also excellent, even more so considering the current times. On Friday, I was (...) at the meeting of wholesalers from Castilla-León, trying to encourage them on the issue of charging for services. We will see if it serves any purpose; it seems it may have provided an initial 'nudge'... so from here, we continue in the fight...”</w:t>
      </w:r>
    </w:p>
    <w:p>
      <w:r>
        <w:t>5.4. Communications between the AAHE and the UAHE.</w:t>
      </w:r>
    </w:p>
    <w:p>
      <w:r>
        <w:t>(50) In this section, the communications between the AAHE and the UAHE developed in the previous sections are presented systematically.</w:t>
      </w:r>
    </w:p>
    <w:p>
      <w:r>
        <w:t>(51) The AAHE communicated to the UAHE, via emails, the content of certain meetings, proposals, and actions carried out within the Association. There is evidence in the file of these facts in the following emails:</w:t>
        <w:br/>
        <w:t>• Email dated March 27, 2006, in which the President of the AAHE (D. [XXX]) informed the Secretary Manager of the UAHE (Dª [XXX]) about a meeting with a competitor for their warehouse to participate in all the agreements they have obtained and about the decision in another meeting with competitors to raise prices starting March 27 (see paragraph 38, page 5). Part of the response from the UAHE to that email dated March 27, 2006, is transcribed, via email of the same date, sent by the Secretary Manager of the UAHE to the President of the Association: “Regarding the meeting on Thursday, I am also glad that there was a 'good taste in the mouth' (I believe it was mutual)” (page 5).</w:t>
        <w:br/>
        <w:t>• Email dated June 26, 2006, in which, among other issues, the President of the AAHE informed the Secretary Manager of the UAHE about the decision to establish a minimum price tariff for a series of products (see paragraph 42, page 7).</w:t>
        <w:br/>
        <w:t>• Email dated November 19, 2007, in which the President of the AAHE informed the Secretary Manager of the UAHE (Dª [XXX]) about the content of the Board of Directors meeting on November 15, 2007, in which the situation of the services to be charged was consolidated and it was decided to increase the fees at the beginning of 2008 (see paragraph 46, page 8).</w:t>
      </w:r>
    </w:p>
    <w:p>
      <w:r>
        <w:t>(52) Part of the response from the UAHE to that email dated November 19, 2007, is transcribed, via email of the same date, sent by the Secretary Manager of the UAHE to the President of the Association: “Thank you for the news you tell me, which is also excellent, even more so considering the current times.” (page 8). Additionally, it mentioned the UAHE's attempt to encourage payment for services in a meeting with the wholesalers of Castilla-León.</w:t>
      </w:r>
    </w:p>
    <w:p>
      <w:r>
        <w:t>(53) Furthermore, at the AAHE meetings on March 23, 2006 (HA 5.1), June 14, 2006 (HA 5.2), and November 16, 2007 (HA 5.3), Grupsider attended, a company that is not part of the AAHE but is part of the UAHE.</w:t>
      </w:r>
    </w:p>
    <w:p>
      <w:r>
        <w:t>LEGAL GROUNDS</w:t>
      </w:r>
    </w:p>
    <w:p>
      <w:r>
        <w:t>FIRST. Applicable Regulations</w:t>
      </w:r>
    </w:p>
    <w:p>
      <w:r>
        <w:t>The DI proposes to this Council of the CNC that it declare the commission of two collusive behaviors, one in which the AAHE would have participated and another in which both the AAHE and the UAHE would have participated, classified in Article 1 of Law 16/1989, of July 17, 1989, on the Defense of Competition (LDC 1989) and Law 15/2007, of July 4, on the Defense of Competition (LDC 2007), as well as in Article 101 of the Treaty on the Functioning of the European Union (TFEU).</w:t>
      </w:r>
    </w:p>
    <w:p>
      <w:r>
        <w:t>A. Application of Law 16/1989, of July 17, on the Defense of Competition</w:t>
      </w:r>
    </w:p>
    <w:p>
      <w:r>
        <w:t>The DI proposes the application of the LDC 1989 and the LDC 2007. The AAHE argues that the applicable law to the alleged behaviors would be the LDC 1989 for the purposes of the sanctioning power as it is the most favorable for the accused.</w:t>
      </w:r>
    </w:p>
    <w:p>
      <w:r>
        <w:t>Both the LDC 1989 and the LDC 2007 prohibit in their Article 1.1.a) the same conduct: agreements that have as their object, produce or may produce the effect of “the direct or indirect fixing of prices or other commercial or service conditions” in all or part of the national territory. Therefore, for the purposes of the legal qualification of the proven facts, it is not of greater relevance to apply one or the other LDC.</w:t>
      </w:r>
    </w:p>
    <w:p>
      <w:r>
        <w:t>As this Council has already stated in previous Resolutions, in those cases where the conduct extends over time during the validity period of both LDCs, according to Article 128 of Law 30/1992, of November 26, on the Legal Regime of Public Administrations and the Common Administrative Procedure (hereinafter, “Law 30/92”), it is necessary to apply one of them, opting for the one that is most beneficial for the accused companies according to the principles of non-retroactivity of the more unfavorable sanctioning norm and retroactivity of the more favorable for the infringer of the specific case (see, for example, the RCNC of November 24, 2011, Expte. S/0232/10 PRISA ZETA; of July 31, 2010, Expte. S/0120/08, Transitarios; and of November 12, 2009, Expte. S/0037/08, Compañías Seguro Decenal). This should also be the case even in those instances, like this one, where the alleged behaviors have concluded prior to the entry into force of the LDC 2007.</w:t>
      </w:r>
    </w:p>
    <w:p>
      <w:r>
        <w:t>The Council considers that, within the framework of this file, the LDC 1989 is the substantive law applicable to the alleged behaviors regarding their qualification and sanction, not only because it is the law in force at the time the alleged behaviors took place, but also because the legal consequences that would derive for the accused from the application of the LDC 1989 are more beneficial.</w:t>
      </w:r>
    </w:p>
    <w:p>
      <w:r>
        <w:t>In particular, since the accused are professional associations of competing entrepreneurs, constituted for the purposes of representation, defense, and coordination of the common interests of their members, to which the commission of collusive practices is attributed, from the confrontation of Articles 62.4.a) and 63.3.c) of the sanctioning regime of the LDC 2007 with Article 10 of the LDC 1989, it results that the eventual fine for the commission of prohibited practices could not exceed the amount of 901,518.16 euros (see, for example, the RCNC of April 26, 2011, Expte. S/0107/08, Plataforma del Mejillón; of January 20, 2011, Expte. S/0196/09, Colegio Notarial de Asturias; and of May 17, 2010, Expte. S/0106/08, Almacenes de Hierro).</w:t>
      </w:r>
    </w:p>
    <w:p>
      <w:r>
        <w:t>Therefore, within the framework of this sanctioning file, the Council considers the LDC 1989 the most favorable norm for the accused and, consequently, the norm under which it corresponds to qualify and, where appropriate, sanction the alleged behaviors in this file throughout its validity.</w:t>
      </w:r>
    </w:p>
    <w:p>
      <w:r>
        <w:rPr>
          <w:b/>
        </w:rPr>
        <w:t>[Pages 22–24]</w:t>
      </w:r>
    </w:p>
    <w:p>
      <w:r>
        <w:t>In any case, since the initiation of the file occurred on November 18, 2010, its processing has been carried out in accordance with the procedural rules of the LDC 2007, as stated in the First Transitional Provision of this regulation.</w:t>
      </w:r>
    </w:p>
    <w:p>
      <w:r>
        <w:t>B. Application of Article 101 of the Treaty on the Functioning of the European Union</w:t>
      </w:r>
    </w:p>
    <w:p>
      <w:r>
        <w:t>The Directorate of Investigation considers that the behaviors also infringe Article 101.1 of the TFEU (formerly 81.1 of the TEC) due to their appreciable effect on intra-community trade. Specifically, the DI notes that (page 1210) that “(101) In this specific case, as indicated in section 4 of the PCH on market characterization, it is a product that by its very nature can generate trade between Member States and, therefore, could affect trade between them, as indeed occurs if one considers that only the UAHE includes, among others, the main companies in Spain in the sector that are multinationals and export to the EU. Furthermore, the member companies of the AAHE can also carry out their activities outside the national territory as they are located near Portugal. Finally, regarding appreciability, the companies associated with the AAHE and UAHE represent a high percentage of the size of the product market, so it can be concluded that the behaviors attributed are suitable to appreciably affect community exchanges.”</w:t>
      </w:r>
    </w:p>
    <w:p>
      <w:r>
        <w:t>The AAHE, on the contrary, considers that the DI has not established evidence of the impact of the attributed behaviors on intra-community trade to the extent that they did not involve agreements related to the export of products. Moreover, the location of AAHE companies near Portugal could not lead the DI to conclude that the agreements of these companies affect intra-community trade, without data being provided on the percentage of sales to Portugal by the companies associated with the AAHE in the period from March to June 2006. On the other hand, the AAHE recalls that at that time large companies such as Alfonso Gallardo SA and ArcelorMittal Distribución did not belong to the AAHE and that the DI would have limited itself to transcribing the market delineated in file S/0106/08 in which the UAHE was sanctioned.</w:t>
      </w:r>
    </w:p>
    <w:p>
      <w:r>
        <w:t>As this Council has recalled on several occasions, the Guidelines regarding the concept of effect on trade contained in Articles 81 and 82 of the Treaty (now Articles 101 and 102 of the TFEU) affirm that, when applying the criterion of effect on trade, three elements must be particularly taken into account: a) the concept of “trade between Member States”; b) the notion of “may affect” and c) the concept of “appreciability”.</w:t>
      </w:r>
    </w:p>
    <w:p>
      <w:r>
        <w:t>According to the aforementioned Guidelines, the concept of “trade” is not limited to traditional cross-border exchanges of goods and services, but is a broader concept that encompasses all cross-border economic activity. “Producing an effect” on “trade between Member States” implies that there must be an impact on cross-border economic activity that affects, at least, two Member States. It is not necessary for the agreement or practice to affect trade between one Member State and the entirety of another Member State. The Guidelines remind us that trade between Member States can also be affected if the relevant market is national or subnational. This interpretation of the Guidelines is consistent with the fundamental objective of the Treaty to promote the free movement of goods, services, persons, and capital.</w:t>
      </w:r>
    </w:p>
    <w:p>
      <w:r>
        <w:t>According to the Guidelines, the assessment of appreciability depends on the circumstances of each case, particularly the nature of the agreement or practice, the nature of the products in question, and the market position of the affected companies. When, by their very nature, the agreement or practice can affect trade between Member States, the threshold of appreciability is lower.</w:t>
      </w:r>
    </w:p>
    <w:p>
      <w:r>
        <w:t>Regarding the nature of the practice, agreements on prices and market sharing of products in one Member State result in a compartmentalization of price evolution in national markets with respect to the Single Internal Market, which makes their effect on intra-community trade clear, without the need to “calculate the actual volume of trade between the Member States affected by the agreement or practice (...)” (paragraph 27 of the Guidelines).</w:t>
      </w:r>
    </w:p>
    <w:p>
      <w:r>
        <w:t>Furthermore, according to the DI, this Council considers that the impact on community trade is also inferred from the nature of the products subject to the practices that “by their nature, (...) are easily traded across borders or are important for companies that want to enter or expand their activities in other Member States” (paragraph 30 of the Guidelines).</w:t>
      </w:r>
    </w:p>
    <w:p>
      <w:r>
        <w:t>Firstly, the attributed practices in question refer to price fixing in the national market by a regional association where approximately 70% of its members are also members of the national association. And, as stated in the Guidelines, this type of practice is more likely than others to result in a compartmentalization of price evolution in the Spanish market with respect to the Internal Market.</w:t>
      </w:r>
    </w:p>
    <w:p>
      <w:r>
        <w:t>Secondly, as indicated in section 4 of the PCH on market characterization (pages 760 to 762), the practices analyzed concern products that, by their very nature, are susceptible to coming from trade between Member States, so that price agreements between these products can compartmentalize the market significantly affecting trade between them.</w:t>
      </w:r>
    </w:p>
    <w:p>
      <w:r>
        <w:t>Indeed, as has already been established in the delineation of the relevant market, steel-derived products such as those marketed by the members of the AAHE and UAHE are non-perishable products that, by their very nature, can be subject to intra-community commercial relationships. Many of these products can be imported by warehouses, and these can in turn market them wherever there is demand within a wide operational radius, which includes at least the entire national territory.</w:t>
      </w:r>
    </w:p>
    <w:p>
      <w:r>
        <w:t>In fact, most of the member companies of the AAHE have admitted in their responses to information requests that they market their products throughout the national territory and 50% of them abroad, specifically in Portugal. Furthermore, all of them have explicitly confirmed that there is no difference in their commercial or pricing policy based on the geographical area in which their clients are located.</w:t>
      </w:r>
    </w:p>
    <w:p>
      <w:r>
        <w:t>In any case, and despite the responses to the information requests from the AAHE members, the truth is that the proximity of the companies to the Portuguese border, the national character of the relevant market, and the nature of the products marketed (non-perishable, susceptible to commercialization within the framework of intra-community relationships, etc.), among others, are sufficient indications to presume the existence of cross-border relationships and, in any case, the impact on intra-community trade.</w:t>
      </w:r>
    </w:p>
    <w:p>
      <w:r>
        <w:t>Finally, as has been recorded in the file, during the investigation at least 14 of the 20 companies of the AAHE also belong to the UAHE, a national association that groups 90% of the producers and marketers in the sector, including of course multinationals that export to the EU, so that the companies associated with the AAHE and UAHE represent a high percentage of the size of the product market.</w:t>
      </w:r>
    </w:p>
    <w:p>
      <w:r>
        <w:t>In light of the above, the Council concludes, as does the DI, that there are indications of a possible significant impact on intra-community trade, and therefore Article 101 of the TFEU is fully applicable.</w:t>
      </w:r>
    </w:p>
    <w:p>
      <w:r>
        <w:rPr>
          <w:b/>
        </w:rPr>
        <w:t>[Pages 25–27]</w:t>
      </w:r>
    </w:p>
    <w:p>
      <w:r>
        <w:t>SECOND. Accusation made by the Directorate of Investigation</w:t>
      </w:r>
    </w:p>
    <w:p>
      <w:r>
        <w:t>The DI considers that (page 770):</w:t>
        <w:br/>
        <w:t>“In the terms provided in the LDC and based on the proven facts described in this document, the existence of the following behaviors contrary to Article 1 of Law 16/1989, of the LDC and 101 of the TFEU could be deduced:</w:t>
        <w:br/>
        <w:t>1. Agreements on price fixing and commercial conditions within the AAHE during the years 2006 and 2007.</w:t>
        <w:br/>
        <w:t>2. Anticompetitive exchanges of information between the AAHE and the UAHE during the years 2006 and 2007.”</w:t>
      </w:r>
    </w:p>
    <w:p>
      <w:r>
        <w:t>Following the allegations and actions subsequent to the PCH, in its IPR, the DI states that (page 1027):</w:t>
        <w:br/>
        <w:t>“(88) Therefore, the conclusions of the PCH must be reiterated that the behaviors carried out within the AAHE consisting of: i) agreeing to raise the prices of their products starting from March 27, 2006 (agreed in an informal meeting of AAHE members on March 23, 2006) [See sections 5.1 of the PCH and 6.1 of the PCH, regarding the proven fact and its legal assessment] and deciding to establish a minimum price tariff (decided in the General Assembly on June 14, 2006) for certain specific products (sliding guides, drip edges, cold UES, solid square carpentry profiles with low rotation, flat bars or smooth rounds) [See sections 5.2 and 6.1 of the PCH, regarding the proven fact and its legal assessment], and carrying out anticompetitive exchanges of information between the AAHE and the UAHE through the emails of March 27, 2006, and June 26, 2006 [See sections 5.4 and 6.2 of the PCH, regarding the proven fact and its legal assessment], constitute infringements typified in Article 1 of Law 16/1989 and the LDC, as well as Article 101 of the TFEU.”</w:t>
      </w:r>
    </w:p>
    <w:p>
      <w:r>
        <w:t>The DI considers that the alleged anticompetitive practices are infringements by object. Specifically, it considers that (pages 1207 to 1209):</w:t>
        <w:br/>
        <w:t>“(91) (…) the actions carried out within the AAHE consisting of agreements to raise prices and a minimum price tariff, as well as the communication of business strategies between AAHE and the UAHE constitute infringements by object, with a clear ability to produce effects and, therefore, it is not necessary to prove the existence of effects.</w:t>
        <w:br/>
        <w:t>(92) Regarding the ability to produce effects of the price-fixing agreements, it points out the 2004 CE Communication on competition in professional services that ‘Fixed prices and minimum prices are regulatory instruments that can produce the most harmful effects on competition, eliminating or significantly reducing the benefits that consumers obtain in competitive markets.’ Likewise, the 2010 CE Guidelines on the applicability of Article 101 of the TFEU to horizontal cooperation agreements consider price fixing as a restriction of competition by object. For its part, the CNC Council [Resolution of the CNC Council of April 26, 2011, in case S/0107/08, Platform of the Mussel] has stated that ‘Price fixing and market sharing are behaviors that objectively distort competition.’</w:t>
        <w:br/>
        <w:t>(93) With respect to the exchanges of information, the 2010 CE Guidelines on the applicability of Article 101 of the TFEU to horizontal cooperation agreements state that ‘Any exchange of information whose objective is to restrict competition will be considered a restriction of competition by object.’ In the same vein, the CNC Council has pronounced [Resolution of the Council of January 21, 2010, in case S/0084/08 Manufacturers of Gel]. In light of the precedents, in this specific case, there is no doubt for this DI that the exchange of information between the AAHE and the UAHE is an infringement by object, as already indicated in the PCH (paragraph 73), since the anticompetitive practices decided within the AAHE are directly communicated to the UAHE, whose members are, moreover, competitors of the members of the AAHE.</w:t>
        <w:br/>
        <w:t>(94) Furthermore, the ability of the behaviors to produce effects is reinforced in this case by the very representativeness of the associations involved, as the AAHE groups the warehousers located in Extremadura, and the UAHE represents 90% of what is marketed by warehouses open to the public in Spain.</w:t>
        <w:br/>
        <w:t>(95) Therefore, the fact that the agreements have or have not been followed by the members is irrelevant to determine the existence of an infringement since the type in Article 1 LDC and 101 TFEU does not require the production of effects, but is perfected with the capacity or ability of the behavior to produce them to an appreciable extent, even if they are not manifested [Resolution of the CNC Council of May 10, 2011, Case 2761/07 Association of Spanish Daily Publishers: ‘The effective following by the members of the recommendation is not part of the element of the type, because what is relevant for the prohibition, in addition to the collective origin, is the ability of the recommendation to harmonize or homogenize the competitive behavior of the members.’]”</w:t>
      </w:r>
    </w:p>
    <w:p>
      <w:r>
        <w:t>In view of the actions taken and in accordance with Article 50.4 of the LDC 2007, the DI proposes to this Council:</w:t>
        <w:br/>
        <w:t>“First. That the existence of behaviors prohibited by Article 1 of Law 16/1989 and the LDC, as well as Article 101 of the TFEU, be declared, consisting of agreeing to raise the prices of their products starting from March 27, 2006 (agreed in an informal meeting of AAHE members on March 23, 2006) and deciding to establish a minimum price tariff (decided in the General Assembly of the AAHE on June 14, 2006) for certain specific products (sliding guides, drip edges, cold UES, solid square carpentry profiles with low rotation, flat bars or smooth rounds), as well as carrying out anticompetitive exchanges of information between the AAHE and the UAHE through the emails of March 27, 2006, and June 26, 2006.</w:t>
        <w:br/>
        <w:t>Second. That the prohibited behaviors be classified, for the purposes of determining the sanction to be imposed, as very serious infringements under Article 62.4.a) of the LDC.</w:t>
        <w:br/>
        <w:t>Third. That the AAHE be declared responsible for the infringement related to the agreement to raise the prices of their products starting from March 27, 2006, and to establish a minimum price tariff for certain specific products, and that both the AAHE and the UAHE be declared responsible for the infringement related to the exchange of information.</w:t>
        <w:br/>
        <w:t>Fourth. That the sanction provided for in Article 63 of the LDC be imposed on each of them, taking into account the criteria for determining the sanction provided for in Article 64 of the LDC.”</w:t>
      </w:r>
    </w:p>
    <w:p>
      <w:r>
        <w:t>THIRD. Allegations of the Parties</w:t>
      </w:r>
    </w:p>
    <w:p>
      <w:r>
        <w:t>Regarding the behaviors recorded in the file, the parties have made the following allegations.</w:t>
      </w:r>
    </w:p>
    <w:p>
      <w:r>
        <w:t>Allegations of the AAHE</w:t>
      </w:r>
    </w:p>
    <w:p>
      <w:r>
        <w:t>The AAHE states that the DI has made fraudulent use of the institution of preliminary proceedings, which would imply the nullity of the procedure and, in any case, its expiration. Furthermore, it considers that the behaviors have expired concerning the AAHE and that, in any case, the infringements attributed to it would have already been sanctioned in the CNC Resolution of May 17, 2010, case S/0106/08, Iron Warehouses.</w:t>
      </w:r>
    </w:p>
    <w:p>
      <w:r>
        <w:rPr>
          <w:b/>
        </w:rPr>
        <w:t>[Pages 28–30]</w:t>
      </w:r>
    </w:p>
    <w:p>
      <w:r>
        <w:t>On the other hand, it denies that the alleged infringements have been committed. Specifically, it denies that any agreement was reached to raise prices in the meeting following the general assembly of March 23, 2006. It explains that the expressions in the email were incorrect, leading to a misinterpretation, and that, in any case, they would refer to the general contracting conditions recommended by the UAHE that were part of the aforementioned file S/0106/08. Regarding the establishment of minimum tariffs for certain products discussed in the assembly of June 14, 2006, it claims that it was never implemented. In short, they deny that the facts declared as proven have evidentiary support to substantiate the accusation.</w:t>
      </w:r>
    </w:p>
    <w:p>
      <w:r>
        <w:t>In relation to the exchange of information, it considers that the emails cannot be classified as such and that, in any case, the aforementioned emails should be framed within the behaviors already sanctioned in file S/0106/08.</w:t>
      </w:r>
    </w:p>
    <w:p>
      <w:r>
        <w:t>As for the applicable regulations, as already indicated, the AAHE considers that the DI has made an improper application of the LDC 2007 since, in any case, if any infringement existed, only the LDC 1989 would be applicable with the maximum penalty limit for associations of 901,518.16 euros; and of Article 101 TFEU, since it has not demonstrated the impact on intra-community trade by the analyzed behaviors.</w:t>
      </w:r>
    </w:p>
    <w:p>
      <w:r>
        <w:t>Finally, the AAHE argues that the alleged practices have had no effects on the market, that the DI imputes infringements by object because it has not been able to demonstrate the effects, and invokes, for the hypothetical purposes of a supposed sanction, the guiding principles of the sanctioning procedure regarding the qualification of less serious facts, application of mitigating factors, and scaling of penalties to a minimum.</w:t>
      </w:r>
    </w:p>
    <w:p>
      <w:r>
        <w:t>Allegations of the UAHE</w:t>
      </w:r>
    </w:p>
    <w:p>
      <w:r>
        <w:t>The UAHE also alleges the prescription of the file, as well as its expiration. It considers that the principles of legal certainty have been violated, insofar as the practice attributed to the UAHE is not typified and lacks legal support, and of non bis in ídem, since, in its case, it would be a behavior already sanctioned within the framework of file S/0106/08, Almacenes de Hierro.</w:t>
      </w:r>
    </w:p>
    <w:p>
      <w:r>
        <w:t>Regarding the exchange of information, it considers that associations cannot be infringing subjects of such practices (only of decisions or recommendations) since the exchanged information cannot have any impact on the activities of the associations as they are not competitors, that the recipient of the assistance is merely a manager without any decision-making capacity in the UAHE, and that, in any case, it could not be considered an infringement by object in such a way that it would be necessary to demonstrate that it had effects. On this particular point, it clarifies that the DI has not found any evidence of the dissemination of the information exchanged among the members despite the large amount of information collected and that the structure of the market as well as the exchanged information would prevent the realization of such effects. Finally, it criticizes the evidentiary rigor of the DI.</w:t>
      </w:r>
    </w:p>
    <w:p>
      <w:r>
        <w:t>FOURTH. Analysis of the prior and procedural allegations</w:t>
      </w:r>
    </w:p>
    <w:p>
      <w:r>
        <w:t>Before proceeding to the substantive assessment of the alleged infringement, it is necessary to analyze the preliminary and procedural issues that the parties have raised in the processing of the file, both in the instruction phase before the DI and in the resolution phase before the Council.</w:t>
      </w:r>
    </w:p>
    <w:p>
      <w:r>
        <w:t>Basically, the allegations of the AAHE and the UAHE can be grouped into three categories: those relating to the prescription and expiration of the file and to the fraud of law; those relating to the infringement of the principle of non bis in ídem in relation to file S/0106/08; and those advocating the violation of their defense rights in such a way that they would have been left defenseless during the procedure.</w:t>
      </w:r>
    </w:p>
    <w:p>
      <w:r>
        <w:t>(i) Prescription and Expiration</w:t>
      </w:r>
    </w:p>
    <w:p>
      <w:r>
        <w:t>As indicated, both the allegations of the UAHE and those of the AAHE include considerations regarding the expiration of the file and/or its prescription.</w:t>
      </w:r>
    </w:p>
    <w:p>
      <w:r>
        <w:t>The UAHE considers that, by virtue of art. 68 LDC 2007, the alleged infringement would have expired on 06/26/2010, the date on which four years have passed since the date of the last infringement (06/26/2006).</w:t>
      </w:r>
    </w:p>
    <w:p>
      <w:r>
        <w:t>According to the UAHE, there can be no appreciation of interruptive acts of the prescription as file S/0254/10 Hierros de Extremadura is expired in what concerns the UAHE, by virtue of arts. 44 and 92 of Law 30/1992. According to the UAHE's argument, given the timing and origin of the information during the course of file S/0106/08 Almacenes de Hierro, the start date of the expiration period corresponds to October 7, 2009 (the date on which the breakdown and incorporation of the information contained in S/0106/08 to the Reserved Information of the present file S/0254/10 occurred), insofar as an excessive amount of time would have elapsed between that incorporation and the initiation of the present file on October 18, 2010. Otherwise, according to the UAHE, it would mean that the DI could indefinitely and periodically open sanctioning files based on documentation collected in an initial investigation.</w:t>
      </w:r>
    </w:p>
    <w:p>
      <w:r>
        <w:t>In short, according to the UAHE, the file would have expired on April 7, 2011 (18 months after the incorporation of the documentation into this file). Therefore, the prescription period would not have been interrupted, by virtue of Article 92 of Law 30/1992 and, having concluded the alleged infringement in June 2006, it would have been prescribed since June 26, 2010.</w:t>
      </w:r>
    </w:p>
    <w:p>
      <w:r>
        <w:t>For its part, the AAHE considers that the alleged infringements would have already prescribed by virtue of art. 68 LDC 2007 as more than four years (specifically, four years and four months) have passed since their commission and the initiation of the sanctioning file on 11/18/2010. According to the AAHE, regarding it, the prescription would not have been interrupted by the incorporation of the documentation contained in file S/0106/08 to the Reserved Information because the AAHE, unlike the UAHE, was not formally informed of this procedure, and with the DI's information request of February 17, 2010, it would have only had a "tangential" knowledge of the situation.</w:t>
      </w:r>
    </w:p>
    <w:p>
      <w:r>
        <w:t>This Council cannot accept the previous arguments.</w:t>
      </w:r>
    </w:p>
    <w:p>
      <w:r>
        <w:t>Regarding expiration, as this Council has stated on several occasions (see, for example, the Resolution of the CNC of July 31, 2010, S/0120/08 Transitarios): "According to Article 36.1 LDC, the maximum period for issuing and notifying the resolution that ends the sanctioning procedure for restrictive competition behaviors will be eighteen months from the date of the initiation agreement and subject to the legally established causes of suspension."</w:t>
      </w:r>
    </w:p>
    <w:p>
      <w:r>
        <w:t>The UAHE intends for the date of incorporation of the documentation to the Reserved Information to be adopted as the initiation date for the purposes of this article (almost a year before the initiation of the procedure).</w:t>
      </w:r>
    </w:p>
    <w:p>
      <w:r>
        <w:t>As jurisprudence has repeatedly stated (see, for example, the rulings of the Supreme Court of December 26, 2007, February 1985, or May 26, 1987, the ruling of the National Court of September 19, 2001, the ruling of the TSJ of Castilla León of February 27, 1999, and the ruling of the TSJ of Aragón of July 28, 2003), the preliminary proceedings carried out during the Reserved Information do not form part of the sanctioning procedure nor do they count for the purposes of its expiration, as they are not properly an administrative file.</w:t>
      </w:r>
    </w:p>
    <w:p>
      <w:r>
        <w:t>Regarding the start of the computation of the expiration period, the LDC 2007 is clear on this point: the expiration period begins to be computed from the date of initiation. In this case, the procedure was initiated on November 18, 2010, and, as the TS stated in the same ruling of December 26, 2007, "...the greater or lesser duration of the preliminary phase does not entail the expiration of the subsequent procedure...".</w:t>
      </w:r>
    </w:p>
    <w:p>
      <w:r>
        <w:rPr>
          <w:b/>
        </w:rPr>
        <w:t>[Pages 31–33]</w:t>
      </w:r>
    </w:p>
    <w:p>
      <w:r>
        <w:t>17 de julio, de Defensa de la Competencia, y por el artículo 101.1 del Tratado de Funcionamiento de la Unión Europea, de la que es autora la Asociación de Almacenistas de Hierro de Extremadura (AAHE), que ha consistido en recomendar y adoptar un sistema de facturación para sus asociados que fija los recargos a aplicar a los clientes, su cuantía mínima y las condiciones de dicha aplicación. La duración acreditada de esta conducta ha sido de octubre de 1999 a junio de 2008.</w:t>
      </w:r>
    </w:p>
    <w:p>
      <w:r>
        <w:t>Tercero.- Imponer a la UAHE una multa de [cantidad] euros y a la AAHE una multa de [cantidad] euros, por la infracción de las normas de competencia mencionadas.</w:t>
      </w:r>
    </w:p>
    <w:p>
      <w:r>
        <w:t>Cuarto.- Declarar que la presente resolución es firme y que contra la misma no cabe recurso alguno.</w:t>
      </w:r>
    </w:p>
    <w:p>
      <w:r>
        <w:t>En relación con la alegación de la AAHE sobre la infracción del principio Non Bis in Ídem, el Consejo considera que no se ha producido una doble sanción por los mismos hechos, dado que las conductas sancionadas en el expediente S/0106/08 son distintas de las que se están analizando en el presente procedimiento. La AAHE ha sido sancionada por su propia conducta, mientras que la UAHE ha sido sancionada por la conducta de sus asociados. Por lo tanto, no se vulnera el principio Non Bis in Ídem.</w:t>
      </w:r>
    </w:p>
    <w:p>
      <w:r>
        <w:t>En consecuencia, se desestima la alegación de la AAHE en relación con la infracción del principio Non Bis in Ídem.</w:t>
      </w:r>
    </w:p>
    <w:p>
      <w:r>
        <w:rPr>
          <w:b/>
        </w:rPr>
        <w:t>[Pages 34–36]</w:t>
      </w:r>
    </w:p>
    <w:p>
      <w:r>
        <w:t>July 17, of the Law 16/1989, on Defense of Competition, for which the Union of Iron Warehousers of Spain (UAHE) is responsible, which has consisted of adopting and disseminating among its members models of letters regarding payment alternatives to be offered to clients during the holiday period. The accredited duration of this conduct has been from April 2007 to April 2008.</w:t>
      </w:r>
    </w:p>
    <w:p>
      <w:r>
        <w:t>Second.- Declare that in the present file the existence of a conduct prohibited by article 1.1 of Law 16/1989 has been accredited, of which the Union of Iron Warehousers of Spain (UAHE) is the author, which has consisted of adopting and disseminating among its members models of letters regarding payment alternatives to be offered to clients during the holiday period. The accredited duration of this conduct has been from April 2007 to April 2008.</w:t>
      </w:r>
    </w:p>
    <w:p>
      <w:r>
        <w:t>The parties insist that the sanction for the alleged practices would violate the principle of non bis in ídem.</w:t>
      </w:r>
    </w:p>
    <w:p>
      <w:r>
        <w:t>The UAHE argues that through the processing of this file, the DI would have tried to "keep the file S/0106/08 alive indefinitely" and that it has shown a lack of evidentiary rigor by overlooking "the connection of the emails to the facts investigated in the file S/0106/08." Specifically, it considers that the first email of March 27, 2006, would fall within the promotional program of the new billing system that the UAHE intended, so that what was reported to the UAHE by the AAHE through this email would have already been included in the resolution of the file S/0106/08. The DI could not in any way assert that the price increase announced in the email of March 27 ("we decided to raise prices starting today") referred to services different from those included in the file S/106/08. In fact, according to the UAHE, this would be the most reasonable explanation. Regarding the second email of June 6, 2006, it considers that it has no relation whatsoever to the previous one of March 27 and brings up what was stated in the sanctioning Resolution of file S/106/08 (Fifth Legal Basis) in order to justify that the disputed email is framed within that file: "The Council cannot share this method of individualized or separate analysis of the proven facts, which aims to artificially present as autonomous, unconnected behaviors, facts that logically occur in time according to an anti-competitive strategy by object, which is clearly revealed if a global examination of the set of proven facts is carried out."</w:t>
      </w:r>
    </w:p>
    <w:p>
      <w:r>
        <w:t>For its part, the AAHE in its allegations to the IPR (page 1356) states that "both the agreements on price fixing and commercial conditions as well as the exchanges of information declared proven in this sanctioning file occur in the context of the presentation made by Mr. [XXX] in his capacity as President of the UAHE at that time, at the Assembly of the AAHE held on March 23, 2006, in which the functions, purpose, and objectives of the UAHE were communicated to our members, informing them of the initiatives that the association intended to carry out (sic) (among them, the breakdown of services ultimately sanctioned)."</w:t>
      </w:r>
    </w:p>
    <w:p>
      <w:r>
        <w:t>The AAHE reminds the Council that "such practices have already been subject to sanction in file S-106/08, as we observe in the content of the resolution of the aforementioned file published on its website:</w:t>
      </w:r>
    </w:p>
    <w:p>
      <w:r>
        <w:t>Paragraph 20.- In the minutes of the meeting of Commission V of UAHE on March 9, 2006, it is noted that the cost studies for transport and financing will be presented at the meeting of March 23 with the Extremaduran members; services that have suffered a notable increase in cost.</w:t>
      </w:r>
    </w:p>
    <w:p>
      <w:r>
        <w:t>Paragraph 22.- During meetings with the regional associations held in 2006, the UAHE dedicated part of the presentation to specifically analyze the cost of certain services (financing and transport): March 2006: meeting with the Association of Iron Warehousers of Extremadura in Cáceres.</w:t>
      </w:r>
    </w:p>
    <w:p>
      <w:r>
        <w:t>It is therefore evident that such facts are framed within the context of the Resolution of the aforementioned file S-106/08, and practices that have already been subject to the corresponding sanction cannot be attributed to us, under penalty of violating the well-known principle "non bis in ídem." (emphasis in the original).</w:t>
      </w:r>
    </w:p>
    <w:p>
      <w:r>
        <w:t>For its part, the DI considers that, "regarding the emails from 2006 (...) it is considered that the content of the same related to the decision to raise prices starting from March 27, 2006, as well as the minimum price tariff for certain products provided in the email of June 26, 2006, are not framed within the sanctioned practice in file S/0106/08, since, as the interested party itself points out, the object of the same was the establishment of a billing system, setting among other issues some minimum billing concepts related to transport and financial surcharges, while in those emails, in addition to appearing issues related to the sanctioned practices in S/0106/08, the AAHE communicates to the UAHE the decision of the AAHE to raise prices starting from March 27, 2006, as well as to establish a minimum price tariff for certain products, which have no relation to the minimum transport or financial surcharges referred to in the Council's Resolution in file S/0106/08.</w:t>
      </w:r>
    </w:p>
    <w:p>
      <w:r>
        <w:t>Therefore, the exchange of information regarding the decision to raise prices starting from March 27, 2006 (through the email of March 27, 2006), as well as the establishment of a minimum price tariff for certain products (through the email of June 26, 2006), are not related to the billing system sanctioned in file S/0106/08."</w:t>
      </w:r>
    </w:p>
    <w:p>
      <w:r>
        <w:t>This Council cannot agree with the allegations of the UAHE and the AAHE. The fact that certain anti-competitive practices occur in a specific context does not exclude that they have not been generated autonomously. Moreover, as described in detail later in the Fifth Legal Basis, the proven facts suggest that it is precisely in the context created by the UAHE intending to recommend the adoption of certain commercial conditions, in which the AAHE along with its members, already gathered (or even subsequently in a "mini-meeting") decides to devise another series of restrictive practices, these specific to the members of AAHE and with different objectives and purposes. Thus, while the UAHE intended to recommend a certain billing system, the AAHE intended to set the selling prices of the products marketed by its members.</w:t>
      </w:r>
    </w:p>
    <w:p>
      <w:r>
        <w:t>According to constitutional jurisprudence, the principle of non bis in ídem would prevent the CNC from sanctioning the UAHE and the AAHE if there were identity of subjects, facts, and legal grounds between this sanctioning file and file S/0106/08. However, clearly in this case, this triple identity does not occur. In the sanctioning file concluded on May 17, 2010, a collective recommendation by an association to its members to unify certain commercial conditions (the billing system) and the dissemination of models of letters regarding payment alternatives during holiday periods was primarily sanctioned. In this file, an anti-competitive decision to raise the prices of all products marketed by its members is attributed to the AAHE, starting with "all those products that the customer usually does not ask for prices," with at least the acquiescence of the UAHE, as will be seen in detail below.</w:t>
      </w:r>
    </w:p>
    <w:p>
      <w:r>
        <w:t>Consequently, the infringement now attributed to the AAHE and the AAHE in this file is based on parallel but necessarily different facts in time from those considered in file S/0106/08. Ultimately, these are autonomous infringements that deserve the instruction of a separate file in that: (1) the alleged facts are different; (2) the parties accused also differ; and (3) the legal foundation does not coincide.</w:t>
      </w:r>
    </w:p>
    <w:p>
      <w:r>
        <w:t>In accordance with the above, this allegation must be dismissed.</w:t>
      </w:r>
    </w:p>
    <w:p>
      <w:r>
        <w:t>(iv) On the violation of the rights of defense that would have generated defenselessness</w:t>
      </w:r>
    </w:p>
    <w:p>
      <w:r>
        <w:t>Violation of the principle of legal certainty due to imprecision of the accusation</w:t>
      </w:r>
    </w:p>
    <w:p>
      <w:r>
        <w:t>Firstly, both the AAHE and the UAHE allege a lack of precision in the accusation made against them in the PCH and in the PR in violation of the principle of legal certainty. Specifically, the UAHE considers that the accusation made against it is very confusing and not understandable (pages 936, allegations to the PCH and page 1334, allegations to the IPR). For its part, the AAHE claims the need to specify the proven facts that are actually attributed (pages 974 and 975 of the allegations to the PCH, and reiteration of the same in its allegations to the IPR, page 1337).</w:t>
      </w:r>
    </w:p>
    <w:p>
      <w:r>
        <w:rPr>
          <w:b/>
        </w:rPr>
        <w:t>[Pages 37–39]</w:t>
      </w:r>
    </w:p>
    <w:p>
      <w:r>
        <w:t>diligencias complementarias.”</w:t>
      </w:r>
    </w:p>
    <w:p>
      <w:r>
        <w:t>Por lo tanto, la solicitud de acceso al expediente realizada por la UAHE en esta fase no puede ser atendida, ya que no se ha producido ninguna vulneración de sus derechos de defensa. En consecuencia, debe desestimarse esta alegación.</w:t>
      </w:r>
    </w:p>
    <w:p>
      <w:r>
        <w:t>Violación de los derechos de defensa por la falta de motivación en la resolución</w:t>
      </w:r>
    </w:p>
    <w:p>
      <w:r>
        <w:t>La UAHE también alega que la resolución del Consejo carece de la debida motivación, lo que, a su juicio, vulnera sus derechos de defensa. En este sentido, la UAHE sostiene que la falta de una exposición clara y detallada de los motivos que llevaron a la decisión adoptada por el Consejo impide que pueda ejercer adecuadamente su derecho a la defensa.</w:t>
      </w:r>
    </w:p>
    <w:p>
      <w:r>
        <w:t>Este Consejo recuerda que, conforme a lo dispuesto en el artículo 54 de la Ley 15/2007, las resoluciones deben ser motivadas, y que la motivación debe ser suficiente para permitir a las partes entender las razones que han llevado a la decisión. Sin embargo, la motivación no tiene que ser exhaustiva ni responder a todas las alegaciones presentadas por las partes, sino que debe ser suficiente para dar cuenta de los elementos esenciales que han sido considerados en la decisión.</w:t>
      </w:r>
    </w:p>
    <w:p>
      <w:r>
        <w:t>En el caso presente, la resolución del Consejo expone de manera clara los fundamentos de hecho y de derecho que justifican la decisión adoptada, así como la valoración de las pruebas y alegaciones presentadas por las partes. Por lo tanto, no se aprecia la falta de motivación alegada por la UAHE, y en consecuencia, esta alegación debe ser desestimada.</w:t>
      </w:r>
    </w:p>
    <w:p>
      <w:r>
        <w:t>En conclusión, tras el análisis de las alegaciones presentadas por la UAHE, este Consejo considera que no se han vulnerado sus derechos de defensa en el procedimiento, por lo que se desestiman todas las alegaciones formuladas en este sentido.</w:t>
      </w:r>
    </w:p>
    <w:p>
      <w:r>
        <w:rPr>
          <w:b/>
        </w:rPr>
        <w:t>[Pages 40–42]</w:t>
      </w:r>
    </w:p>
    <w:p>
      <w:r>
        <w:t>complementary actions. Therefore, because there may not be a hearing procedure before the Council, it makes complete sense for the Competition Defense Regulation to regulate access to the file within the instruction phase (art. 31). Thus, in accordance with Law 15/2007, the Council could have resolved the file at any time within the established legal timeframe, without the lack of access of the parties to the file in this resolution phase generating any defenselessness, and the same conclusion would be reached by applying Law 30/1992, since according to art. 84.4 "The hearing procedure may be omitted when no other facts or allegations and evidence are included in the procedure or taken into account in the resolution other than those put forward by the interested party."</w:t>
      </w:r>
    </w:p>
    <w:p>
      <w:r>
        <w:t>In any case, and in accordance with the above, this Council understands that the UAHE merely alleges, in a purely formal manner, a defenselessness that could not have occurred in any case. A simple examination of the administrative file is sufficient to verify that, firstly, all the accused have been able to make the allegations they deemed appropriate to the IPR of the DI and propose (which is their right) the evidence they consider appropriate and/or the holding of an oral hearing. Specifically, the UAHE has not requested the practice of any evidence, although it has requested the holding of a hearing pursuant to the provisions of article 51.3 LDC, a hearing that has not been deemed necessary "for the examination and judgment of the object of the file" (art. 19.1 of the RDC) and whose exercise is, in any case, at the discretion of this Council.</w:t>
      </w:r>
    </w:p>
    <w:p>
      <w:r>
        <w:t>For the above reasons, this allegation must also be rejected.</w:t>
      </w:r>
    </w:p>
    <w:p>
      <w:r>
        <w:t>FIFTH. Collusive conduct attributed by the Council</w:t>
      </w:r>
    </w:p>
    <w:p>
      <w:r>
        <w:t>Article 1.1 of the LDC states: "All agreements, decisions or collective recommendations, or concerted or consciously parallel practices that have as their object, produce or may produce the effect of preventing, restricting or distorting competition in all or part of the national market are prohibited, and in particular those consisting of: a) The direct or indirect fixing of prices or other commercial or service conditions. (...)". Article 101 of the TFEU expresses itself in practically identical terms.</w:t>
      </w:r>
    </w:p>
    <w:p>
      <w:r>
        <w:t>The prohibition contained in this legal provision has as its application prerequisites or elements of the infringing type, (i) the existence of a concerted conduct (in its modalities of agreement, decision or collective recommendation, concerted or consciously parallel practice), and (ii) that this conduct has the capacity to restrict effective competition (that it has as its object, produces or may produce the effect of significantly restricting competition in the national market).</w:t>
      </w:r>
    </w:p>
    <w:p>
      <w:r>
        <w:t>The Council considers that the proven facts acquire logic within the framework of a single continuous infringement developed within the AAHE, which aims to restrict competition among, at least, the members of the AAHE, with the knowledge and acquiescence of the UAHE and which, furthermore, clearly has the capacity to generate such restrictive effects.</w:t>
      </w:r>
    </w:p>
    <w:p>
      <w:r>
        <w:t>Firstly, the proven facts clearly describe a context of contacts and discussions within the AAHE, with the support of the UAHE, to address issues legally unrelated to those of a sectoral association and close to the competitive strategy of the members of both associations.</w:t>
      </w:r>
    </w:p>
    <w:p>
      <w:r>
        <w:t>From the proven facts described by the DI, it is deduced that the beginning of these conversations, or at least their intensification, occurs on the occasion of the "PowerPoint presentation on the Union of Iron Warehousers of Spain, in which the objectives of the UAHE were explained and what the UAHE is for" made by the President of the UAHE, Mr. [XXX] (page 268 of the file, relating to the minutes of the meeting of March 23, 2006, and described in the proven fact 5.1 of the PCH).</w:t>
      </w:r>
    </w:p>
    <w:p>
      <w:r>
        <w:t>Thus, the presentation of the purposes and objectives of the UAHE was subsequently followed by another meeting among all or some of the attendees at Mr. [XXX]'s meeting (the "mini-meeting" referred to in the proven fact 5.1) where they were "discussing the topics that had been addressed in the meeting and we decided to raise prices starting this Monday" (email of March 27 sent by the President of the AAHE to the General Secretary of the UAHE, recorded in the proven fact 5.1, emphasis added). Indeed, from the literal wording of that email, at least an intention born within the AAHE, after a presentation made by the UAHE, to set the prices of the products marketed by its members from a certain date can be inferred.</w:t>
      </w:r>
    </w:p>
    <w:p>
      <w:r>
        <w:t>The most reliable confirmation of the intention to fix prices reflected in the email of March 27, 2006, is another email sent, also to the UAHE, after the Association meeting that took place just two and a half months later, on June 14 (it is worth remembering that AAHE meetings had traditionally been reduced in previous years to 1 or 2 per year as the AAHE itself states in its writings, page 38). Specifically, in its response to the DI's request of February 17, 2010, the representative of the AAHE stated: "Thus, for example, we indicate that we lack our own headquarters for the association, we do not have personnel in charge or our own association phones. We also do not have a documentary archive of the association since its activity is limited to holding one or two meetings a year of the members of its governing body in which no binding agreements for the sector are adopted, focusing these meetings solely on addressing the various issues or problems that affect our members in common and then holding a brotherhood meal" (emphasis added).</w:t>
      </w:r>
    </w:p>
    <w:p>
      <w:r>
        <w:t>Indeed, despite what is transcribed in the minutes of the meeting of June 14, the text of the email from the President of the AAHE to the General Secretary of the UAHE of June 26, 2006, leaves no doubt: "it was approved to make a minimum price list for all those products that the customer usually does not ask for prices, for example: the sliding guide, the drip edge, the cold UES, solid square carpentry profiles of low rotation, flat strips" (highlight added) (proven fact 5.2 of the PCH). This decision would have been adopted under the discussions held in the AAHE meeting of June 14, 2006, as recorded in the aforementioned official minutes.</w:t>
      </w:r>
    </w:p>
    <w:p>
      <w:r>
        <w:t>The intention to orchestrate a pricing strategy for the products marketed by the members from the AAHE, which would have at least its launch date in the "mini-meeting" after the AAHE meeting of March 23, 2006 (proven fact 5.1 of the PCH), and its first specification in the General Assembly meeting of June 14 (proven fact 5.2 of the PCH), is clearly reflected in the same email from the President of the AAHE of June 26 to the General Secretary of the UAHE when he states that "All this was considered a start to end up making a tariff for everything for everyone" (emphasis added) (proven fact 5.2 of the PCH).</w:t>
      </w:r>
    </w:p>
    <w:p>
      <w:r>
        <w:t>The above describes conduct with a unique and common purpose, according to a pre-conceived plan within the AAHE. As the CJEU stated in its Judgment of September 21, 2006, case C-105/04, Nederlandse Federatieve Vereniging voor de Groothandel op Elektrotechnisch Gebied: "110.- An infringement of Article 81 EC, paragraph 1, may result not only from an isolated act but also from a series of acts or even from continued behavior. This interpretation is not undermined by the fact that one or several elements of that series of acts or of the continued behavior may also constitute an infringement of the aforementioned provision when considered in isolation. When the different actions are part of a 'joint plan' due to their identical object that distorts the play of competition within the common market, the commission may attribute responsibility for those actions based on participation in the infringement considered as a whole" and this without prejudice to the fact that this qualification of a company as responsible for a single and continuous infringement does not prevent different degrees of involvement and responsibility in it or the duration of the conduct from being considered, with the consequences that this may have when quantifying the amount of any sanction (see the CNC Resolution of June 24, 2011, in Expte. S/0185/09 Fluid Pumps, citing the Judgment of the TG of March 24, 2011, case T-384/06, IBP and International Building Products France/Commission, paragraph 56).</w:t>
      </w:r>
    </w:p>
    <w:p>
      <w:r>
        <w:rPr>
          <w:b/>
        </w:rPr>
        <w:t>[Pages 43–45]</w:t>
      </w:r>
    </w:p>
    <w:p>
      <w:r>
        <w:t>members of the AAHE were also part of the UAHE, which reinforces the likelihood that the communications and practices discussed were aimed at coordinating actions that could restrict competition.</w:t>
      </w:r>
    </w:p>
    <w:p>
      <w:r>
        <w:t>In conclusion, the evidence presented indicates that the practices carried out by the AAHE, as well as the communications with the UAHE, constitute a continuous infringement of competition law, as they reflect a coordinated strategy to manipulate prices in the market for steel products. The actions taken by the AAHE, in conjunction with the support and endorsement from the UAHE, demonstrate a clear intent to engage in anti-competitive behavior that undermines the principles of free competition established by law.</w:t>
      </w:r>
    </w:p>
    <w:p>
      <w:r>
        <w:rPr>
          <w:b/>
        </w:rPr>
        <w:t>[Pages 46–48]</w:t>
      </w:r>
    </w:p>
    <w:p>
      <w:r>
        <w:t>the members of the UAHE were aware of the decisions made within the AAHE. This fact, along with the communication channel between the President of the AAHE and the UAHE, has the capacity to disseminate among the members of the UAHE the decisions made in the AAHE.</w:t>
      </w:r>
    </w:p>
    <w:p>
      <w:r>
        <w:t>Regarding the possible differences between the structure of the charges made by the DI in relation to the UAHE and those made by the Council, it is sufficient to point out that these are behaviors that infringe the same provision of the LDC, that both are classified as very serious behaviors, that the facts motivating the infringement are exactly the same, and that, in essence, the conduct attributed is also the same, that is, having knowledge of restrictive competition behaviors through emails whose receipt has the capacity to significantly restrict competition.</w:t>
      </w:r>
    </w:p>
    <w:p>
      <w:r>
        <w:t>This Council considers that the proven facts in the referred context acquire full validity. The evidence collected by the DI constitutes direct and sufficient evidence of the anticompetitive strategy developed within the AAHE, under the auspices and with the endorsement of the UAHE.</w:t>
      </w:r>
    </w:p>
    <w:p>
      <w:r>
        <w:t>Notwithstanding the above, in response to the allegations of the AAHE and the UAHE regarding the lack of evidence of the restrictive behaviors, it is important to highlight that even in the absence of direct evidence, the same anticompetitive strategy would be deduced from the entirety of the evidentiary material in the sense of the judgment of the TGUE of September 27, 2006 (joined cases T-44/02, T-54/02, T-56/02, T-60/02, and T-61/02, Dresdner Bank AG), paragraphs 63 and 64, and from the Judgment of the TS of March 6, 2000, FD Second.</w:t>
      </w:r>
    </w:p>
    <w:p>
      <w:r>
        <w:t>In short, in accordance with the above, this Council considers that both the AAHE and the UAHE have participated in a single infringement consisting of a decision made within the AAHE in the meeting of March 23 to raise prices, which would have been reflected in a first group of products at the General Assembly of June 14, 2006. All this with the acquiescence of the UAHE, which thus becomes a co-author of the anticompetitive practice.</w:t>
      </w:r>
    </w:p>
    <w:p>
      <w:r>
        <w:t>The practice as described constitutes a very serious infringement of Article 1 of the LDC 1989 and Article 101 TFEU, by its object and also has the capacity to restrict competition.</w:t>
      </w:r>
    </w:p>
    <w:p>
      <w:r>
        <w:t>SIXTH. Responsibility</w:t>
      </w:r>
    </w:p>
    <w:p>
      <w:r>
        <w:t>The participation and responsibility of the AAHE in relation to the described anticompetitive conduct is beyond doubt. It is the AAHE, through its President, that adopts an anticompetitive strategy for its members that seeks the fixing of prices of the products marketed by its members.</w:t>
      </w:r>
    </w:p>
    <w:p>
      <w:r>
        <w:t>In the case of the UAHE, its participation, as already indicated, acts as an endorsement of what was decided by the AAHE in relation to its members who (let us remember) are also mostly members of the UAHE (70%), in addition to having fostered a context of discussions on issues outside the associative scope and close to the business strategy that each company should develop absolutely independently.</w:t>
      </w:r>
    </w:p>
    <w:p>
      <w:r>
        <w:t>Indeed, the role of the UAHE in the initiation or at least intensification of the anticompetitive behaviors developed by the AAHE cannot be ignored by this Council. It does not seem coincidental that, following the presentation of the UAHE by its President in March 2006, the anticompetitive strategy adopted within the AAHE begins to be at least documented in writing in the aforementioned emails.</w:t>
      </w:r>
    </w:p>
    <w:p>
      <w:r>
        <w:t>This role also acquires full relevance in the communications and follow-up that the President of the AAHE makes the UAHE participate in through his emails.</w:t>
      </w:r>
    </w:p>
    <w:p>
      <w:r>
        <w:t>It is worth noting at this point that the AAHE, despite being functionally and legally separate from the UAHE, is linked to it from the moment that prior adherence to one of the regional iron warehousing associations, such as the AAHE, is an indispensable requirement for membership in the UAHE. Thus, not all members of the AAHE necessarily belong to the UAHE, but all members of the UAHE based in Extremadura must first be members of the AAHE (see the Internal Procedural Regulations of the UAHE, Article 2 on page 942). This explains why approximately 70% of the members of the AAHE (14 of the then 20 members) were also members of the UAHE. And, in any case, from the content of the collected emails, it is inferred that the President of the AAHE and the General Secretariat of the UAHE maintain a regular line of communication.</w:t>
      </w:r>
    </w:p>
    <w:p>
      <w:r>
        <w:t>In accordance with the above, this Council considers that the role played by the UAHE in the conduct attributed is not merely passive and without legal or economic significance as the UAHE claims in its allegations. Despite not having carried out the material execution of the price-fixing decision, it has fostered the context for its achievement and has subsequently endorsed the advances through its follow-up via emails, without ever opposing the anticompetitive practices that were being communicated.</w:t>
      </w:r>
    </w:p>
    <w:p>
      <w:r>
        <w:t>Even in the case that only a passive role were attributed to the UAHE in the conduct, this does not imply that it is not significant in relation to the infringement.</w:t>
      </w:r>
    </w:p>
    <w:p>
      <w:r>
        <w:t>The CJEU in its Judgment of January 7, 2004, joined cases C-204/00 P, C-205/00 P, C-211/00 P, C-213/00 P, C-217/00 P, and C-219/00 P, Aalborg, paragraph 84, states that "the tacit approval of an unlawful initiative without publicly distancing oneself from its content or reporting it to the administrative authorities has the effect of encouraging the continuation of the infringement and risks its discovery. This complicity constitutes a passive form of participation in the infringement that can therefore entail the responsibility of the company within the framework of a single agreement."</w:t>
      </w:r>
    </w:p>
    <w:p>
      <w:r>
        <w:t>(...)</w:t>
      </w:r>
    </w:p>
    <w:p>
      <w:r>
        <w:t>"the fact that a company has not participated in all the constitutive elements of a collusive practice or that it has played a minor role in the aspects in which it has participated is not relevant when attributing an infringement. Such elements should only be taken into account when assessing the seriousness of the infringement and, where appropriate, determining the fine (see, in this sense, the judgment Commission/Anic Partecipazioni, previously cited, paragraph 90)."</w:t>
      </w:r>
    </w:p>
    <w:p>
      <w:r>
        <w:t>Thus, not only those entities that have participated more actively in competition infringements are responsible for the conduct. Those who have been aware of the anticompetitive practice, reinforcing and inciting it even if only through silence, can also be held responsible.</w:t>
      </w:r>
    </w:p>
    <w:p>
      <w:r>
        <w:t>However, the degree of intensity of the participation of the different authors in the infringement can be assessed for the purposes of calculating the sanction. On this point, it is worth recalling the Judgment of the AN of September 30, 2010, when it states that "Indeed, the participation of several subjects as co-authors of the same infringement against competition law will not necessarily present the same degree of intensity. To the extent that one of those subjects inspires the collusive agreement, promotes it, secures the adherence of other economic agents, monitors its compliance, and 'drags' others along, their authorship takes on special significance that will logically justify a greater sanction than that imposed on the other subjects."</w:t>
      </w:r>
    </w:p>
    <w:p>
      <w:r>
        <w:t>In accordance with the above, and in light of the proven facts and the charges made in the PCH, the Council attributes the following responsibilities for the analyzed infringement:</w:t>
        <w:br/>
        <w:t>- The Association of Iron Warehousers of Extremadura, AAHE</w:t>
        <w:br/>
        <w:t>- The Union of Iron Warehousers of Spain, UAHE</w:t>
      </w:r>
    </w:p>
    <w:p>
      <w:r>
        <w:rPr>
          <w:b/>
        </w:rPr>
        <w:t>[Pages 49–51]</w:t>
      </w:r>
    </w:p>
    <w:p>
      <w:r>
        <w:t>SEVENTH. Calculation of the Sanction</w:t>
      </w:r>
    </w:p>
    <w:p>
      <w:r>
        <w:t>In accordance with the provisions established in the First Legal Basis of this Resolution, the applicable national legislation to the collusive conduct attributed by the Council and described in the Fifth Legal Basis is the LDC 1989 and Article 101 TFEU.</w:t>
      </w:r>
    </w:p>
    <w:p>
      <w:r>
        <w:t>Article 10 of the LDC 1989 empowers the Council of the CNC to impose a fine of up to 901,518.16 euros on associations that deliberately or negligently infringe the prohibition of restrictive competition practices.</w:t>
      </w:r>
    </w:p>
    <w:p>
      <w:r>
        <w:t>The DI proposes that "in the event that a resolution is issued declaring the existence of such infringement [very serious infringement typified in Article 62.4 of the LDC 2007], the sanction provided in Article 63.1.c) for each of them is a fine of up to 10% of the total turnover of the AAHE and the UAHE in the financial year immediately preceding the imposition of the fine, for which the turnover of their associated companies will be taken into consideration, always with the limit of 901,518.16 € provided in Article 10 of Law 16/1989."</w:t>
      </w:r>
    </w:p>
    <w:p>
      <w:r>
        <w:t>The DI, in consideration of the criteria established in the aforementioned Article 10 for determining the amount of the sanction, highlights that the following should be taken into account: (1) that the market in which the infringements occur is a highly fragmented market, both from the supply and demand sides, of national dimension and of great importance for other sectors of the economy, such as the construction and infrastructure sector, although in the case of the AAHE, the activities of its members are concentrated in Extremadura; (2) that the iron warehousing and distribution sector may be suffering significantly from the current economic crisis, with Extremadura being the most economically depressed Autonomous Community in Spain. In this regard, it cites the Report of the Trade Service of the Ministry of Economy, Trade and Innovation of the Government of Extremadura; (3) that the UAHE represents 90% of the volume marketed by iron warehouses open to the public in Spain and that, in the case of the AAHE, it encompasses 20 companies, of which 14 are members of the UAHE, and that, at the time of the restrictive practice, most of its members were small family businesses; (4) that, although the existence of effects has not been proven, the practices had a clear potential to produce them as they are anti-competitive behaviors by their nature, likely to have effects on the rights and interests of consumers; (5) that the duration of the infringement extends at least from March 2006 to June 2006; and (6) that there are no aggravating or mitigating circumstances to be appreciated.</w:t>
      </w:r>
    </w:p>
    <w:p>
      <w:r>
        <w:t>The AAHE, in the event that a sanction is imposed, invokes the guiding principles of the sanctioning procedure regarding the qualification of less serious facts, the application of mitigating factors, and the scaling of the sanction to a minimum to the extent that: (1) the existence of anti-competitive practices or the existence of effects in the market has not been proven; (2) that the dimension of the alleged agreements is very limited because the vast majority of AAHE members at the time of the analyzed conduct are small family businesses; (3) that the infringements have lasted for a very short period of time (March to June 2006); and (4) that the following mitigating circumstances should be appreciated: the impact of the economic crisis on the AAHE members and the weak economic situation of the Autonomous Community of Extremadura, the fact that the AAHE has never before been sanctioned by the CNC; the continuous collaboration of the AAHE throughout the procedure; and the nature of its actions being at most negligent, never willful.</w:t>
      </w:r>
    </w:p>
    <w:p>
      <w:r>
        <w:t>It is also appropriate at this point to bring to attention the conclusions of the Report of the Trade Service of the Ministry of Economy, Trade and Innovation of the Government of Extremadura which, despite considering that the conduct attributed by the DI was proven, concluded that its insufficient proof in order to demonstrate its effective application, as well as the reduced practical effectiveness of the alleged infringement are elements that should be considered as mitigating, if applicable, of the possible sanction. Furthermore, the Report describes a scenario of widespread decline in the activity of AAHE members, such that, starting in 2008, their aggregate turnover sharply declines, reaching in 2010 levels of billing that only represented half of what was billed in 2006. In any case, it is drawn from the information gathered by the Extremaduran Trade Service that 10% of the aggregate turnover of the AAHE members in 2010 is far above the legal limit of the sanction of 901,518.16 provided for associations under the LDC 1989 (specifically, according to the data provided by the AAHE members to the Government of Extremadura, their aggregate turnover in the affected market amounted to 148,866,040.05 in 2010).</w:t>
      </w:r>
    </w:p>
    <w:p>
      <w:r>
        <w:t>The Council considers that both the AAHE and the UAHE have deliberately infringed the prohibition of Article 1 of the LDC 1989 and Article 101 TFEU. However, although none of the alleged circumstances can mitigate the administrative responsibility of the AAHE and the UAHE for the commission of the competition infringement described in the Fifth Legal Basis, it is possible to modulate the amount of the sanction in accordance with the principle of proportionality.</w:t>
      </w:r>
    </w:p>
    <w:p>
      <w:r>
        <w:t>As this Council stated in its resolution of May 17, 2010, S/0106/08, Almacenes Hierro, "According to the jurisprudence of the Supreme Court, the discretion that Article 10 of Law 16/1989 grants to the CNC must be exercised by weighing the concurrent circumstances, in order to achieve the necessary and due proportionality between the imputed facts and the responsibility required, given that any sanction must be determined in accordance with the nature of the infringement committed, and according to a criterion of proportionality attentive to the objective circumstances of the fact."</w:t>
      </w:r>
    </w:p>
    <w:p>
      <w:r>
        <w:t>In the case of the AAHE, starting from the modulation criteria established in Article 10 of the LDC 1989 to weigh the sanction, the Council takes into account that: (1) the AAHE is an association that only brings together iron warehousers whose headquarters are located in Extremadura; (2) that it is a very serious conduct with the potential to affect a significant portion of the Spanish economy and intra-community exchanges; (3) that the AAHE has acted deliberately in that it has taken care not to reflect in the official minutes what it later communicates as facts by email to the UAHE. Nevertheless, and for the appropriate proportionality of the sanction, this Council has also taken into account that: (1) the duration of the infringement has been limited (at least about 3 months); (2) at the time of the infringement, most of the AAHE companies were small and medium-sized family businesses; and (3) the lack of proof in the file of significant effects resulting from the infringement.</w:t>
      </w:r>
    </w:p>
    <w:p>
      <w:r>
        <w:t>Regarding the sanction of the UAHE, to weigh the sanction, the Council has particularly taken into account that (1) the sanctioned conduct has been carried out by a national association that groups companies representing 90% of the volume marketed by open-to-the-public warehouses; (2) that it is a very serious conduct with the potential to affect a significant portion of the Spanish economy and intra-community exchanges; (3) that the UAHE, as a national association, had a special duty of responsibility regarding the regional associations for which it serves as a reference and with which it shares 100% of its members (since it is necessary to first be a member of one of the regional associations to then be a member of the UAHE); and (4) that it also has a special responsibility for having fostered the context in which the conversations between the AAHE members and subsequent restrictive practice are framed. On the other hand, and to adequately weigh the sanction, it is appropriate to take into account: (1) the limited duration of the same (at least 3 months, from late March to late June); (2) the limited geographical scope of the AAHE's area of action; and (3) the lack of proof of significant effects resulting from the infringement.</w:t>
      </w:r>
    </w:p>
    <w:p>
      <w:r>
        <w:t>Although information has been gathered regarding the turnover of the companies associated with the AAHE in the 2010 financial year (not so for the UAHE), given the application of the legal maximum of the sanction in Article 10 of the LDC 1989, it is appropriate to take as a reference for assessing the proportionality of the sanction the file closest to this one, S/0106/08, Almacenistas de Hierro, taking into account the differences that exist between this and that regarding the conduct.</w:t>
      </w:r>
    </w:p>
    <w:p>
      <w:r>
        <w:rPr>
          <w:b/>
        </w:rPr>
        <w:t>[Pages 52–53]</w:t>
      </w:r>
    </w:p>
    <w:p>
      <w:r>
        <w:t>of the sanction of article 10 of the LDC 1989, it is appropriate to take as a reference to assess the proportionality of the sanction the file closest to this one, S/0106/08, Iron Warehousers, taking into account the differences that exist between this and that one in relation to the conduct, its duration, its author, and the affected market. And within this limit, a gradation is necessary in proportion to the importance of the infringement, which is determined by the criteria set forth in article 10.2 itself, namely, the modality and scope of the restriction, market dimension, market share of the corresponding company or companies, effects on competitors and on users, and duration and recurrence.</w:t>
      </w:r>
    </w:p>
    <w:p>
      <w:r>
        <w:t>In file S/0106/08, a fine of 650,000 euros was imposed on the UAHE as the author of the restrictive conduct declared prohibited in the Resolution. In relation to this file, the Council considers that the conduct of the AAHE constitutes a very serious deliberate infringement of article 1 of the LDC 1989 and article 101 of the TFEU, without any mitigating circumstances being appreciable in principle. Furthermore, despite the participation of the UAHE in it, it is necessary to note that it has been the AAHE itself that has promoted and directly monitored the anticompetitive practice, giving its authorship special significance. Nevertheless, according to the modulation criteria listed, particularly the short duration of the imputed infringement and the absence of evidence of effects derived from it, it is considered proportionate to impose a sanction of 250,000 euros.</w:t>
      </w:r>
    </w:p>
    <w:p>
      <w:r>
        <w:t>Regarding the UAHE, and taking into account the above, the Council considers that its conduct constitutes a very serious deliberate infringement of article 1 of the LDC 1989 and article 101 of the TFEU. As in the case of the AAHE, the Council also takes into account the short duration of the imputed infringement and the absence of evidence of effects derived from it. When modulating the sanction, the greater representativeness and scope of the UAHE in the Spanish market compared to the AAHE would lead to the imposition of a higher sanction than that of the regional association in application of the principle of proportionality. However, given its level of participation in the conduct, more limited than that of the AAHE as reasoned in the sixth legal basis, this Council considers it proportionate to also impose a fine of 250,000 euros on the UAHE.</w:t>
      </w:r>
    </w:p>
    <w:p>
      <w:r>
        <w:t>For the foregoing reasons, having regard to the cited legal and regulatory provisions and others of general application, the Council of the National Competition Commission,</w:t>
      </w:r>
    </w:p>
    <w:p>
      <w:r>
        <w:t>RESOLVES</w:t>
      </w:r>
    </w:p>
    <w:p>
      <w:r>
        <w:t>FIRST.- To declare that in the present file the existence of collusive conduct prohibited by article 1 of Law 16/1989, of July 17, on the Defense of Competition and article 101 of the Treaty on the Functioning of the European Union has been established in the terms described in the Fifth Legal Basis of this Resolution.</w:t>
      </w:r>
    </w:p>
    <w:p>
      <w:r>
        <w:t>SECOND.- To declare the Association of Iron Warehousers of Extremadura and the Union of Iron Warehousers of Spain responsible for the infringement.</w:t>
      </w:r>
    </w:p>
    <w:p>
      <w:r>
        <w:t>THIRD.- To impose the following sanctions:</w:t>
        <w:br/>
        <w:t>─ To the Association of Iron Warehousers of Extremadura a fine of 250,000 € (TWO HUNDRED FIFTY THOUSAND EUROS).</w:t>
        <w:br/>
        <w:t>─ To the Union of Iron Warehousers of Spain, a fine of 250,000 € (TWO HUNDRED FIFTY THOUSAND EUROS).</w:t>
      </w:r>
    </w:p>
    <w:p>
      <w:r>
        <w:t>FOURTH.- To order the entities mentioned in the Second Resolve to refrain from carrying out the sanctioned conduct and any other conduct of equivalent effect in the future.</w:t>
      </w:r>
    </w:p>
    <w:p>
      <w:r>
        <w:t>FIFTH.- To urge the Investigation Directorate of the CNC to monitor compliance with this Resolution.</w:t>
      </w:r>
    </w:p>
    <w:p>
      <w:r>
        <w:t>This Resolution shall be communicated to the Investigation Directorate of the CNC and notified to the interested parties, informing them that no administrative appeal is available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