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https://www.cnmc.es/expedientes/s026310</w:t>
      </w:r>
    </w:p>
    <w:p>
      <w:r>
        <w:t>Pages translated : 7</w:t>
      </w:r>
    </w:p>
    <w:p/>
    <w:p>
      <w:r>
        <w:rPr>
          <w:b/>
        </w:rPr>
        <w:t>[Pages 1–3]</w:t>
      </w:r>
    </w:p>
    <w:p>
      <w:r>
        <w:t xml:space="preserve">RESOLUTION  </w:t>
        <w:br/>
        <w:t xml:space="preserve">Expte. S/0263/10 REYMO ELECTRICAL MOUNTINGS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October 14, 2010  </w:t>
        <w:br/>
        <w:t>The Council of the National Commission of Competition, with the composition expressed and being the Rapporteur Councilor Ms. Inmaculada Gutiérrez Carrizo, has issued the following Resolution in the reserved information file S/0263/010, initiated against Talleres Jaso Industrial SL, Jaso Castilla SL, and Garabi Maintenance SL, by virtue of the complaint filed by Reymo Electrical Mountings SL for refusal to supply parts and spare parts for the bridge cranes manufactured by Talleres Jaso.</w:t>
      </w:r>
    </w:p>
    <w:p>
      <w:r>
        <w:t xml:space="preserve">FACTUAL BACKGROUND  </w:t>
        <w:br/>
        <w:t>1. On May 18, 2010, a letter from xxx, on behalf of Reymo Electrical Mountings SL (Reymo), was received by this National Commission of Competition, in which it denounces Talleres Jaso Industrial S.L (Talleres Jaso), Jaso Castilla S.L. (Jaso Castilla), and Garabi Maintenance S.L. (Garabi), for anti-competitive conduct, consisting of the refusal by Talleres Jaso and Jaso Castilla to provide Reymo with spare parts for the "Jaso" brand bridge cranes, unless the manufacturing number and the name of the end customer to whom the spare parts were intended were provided. According to the complainant, this requirement would aim to know Reymo's customer portfolio and thus be able to develop a strategy to capture those customers, contrary to the regulations governing competition and the free market. In this action, Garabi would also participate, who, after an agreement with them, would refuse to supply parts.</w:t>
      </w:r>
    </w:p>
    <w:p>
      <w:r>
        <w:t xml:space="preserve">2. The Directorate of Investigation provides the following description of the parties:  </w:t>
        <w:br/>
        <w:t xml:space="preserve">“1. Complainant  </w:t>
        <w:br/>
        <w:t xml:space="preserve">Reymo Electrical Mountings SL is engaged in the assembly, maintenance, and repair of lifting machinery, including industrial bridge cranes (folio 1).  </w:t>
        <w:br/>
        <w:t xml:space="preserve">It has a single workshop located in La Cistérniga (Valladolid) (folio 127).  </w:t>
        <w:br/>
        <w:t>It primarily operates in Castilla y León (folio 73).</w:t>
      </w:r>
    </w:p>
    <w:p>
      <w:r>
        <w:t xml:space="preserve">2. Respondents  </w:t>
        <w:br/>
        <w:t xml:space="preserve">Talleres Jaso Industrial SL, domiciled in Itsasondo (Guipúzcoa), is engaged in the design, manufacture, repair, and maintenance of lifting and transport systems (standard cranes, special cranes, hoists, trolleys, end carriages, and translation mechanisms, etc.) under the "Jaso" brand, with various branches in the national territory and abroad. It has a presence in Europe, India, Mexico, Argentina, Brazil, Morocco, and Malaysia (folio 69). Talleres Jaso Industrial owns (70% confidential) of the shares of Jaso Castilla (folio 80).  </w:t>
        <w:br/>
        <w:t xml:space="preserve">Jaso Castilla SL, domiciled in La Cistérniga (Valladolid), is the official technical service of Jaso in Castilla León and Cáceres and is engaged in the assembly, maintenance, and repair of Jaso brand lifting systems in that territory. It also distributes spare parts of the Jaso brand and occasionally of other brands (folio 79).  </w:t>
        <w:br/>
        <w:t xml:space="preserve">It has no contractual or shareholding relationship with Garabi Maintenance SL (folios 80 and 120), although Jaso Castilla claims that Garabi is occasionally its supplier (folio 80).  </w:t>
        <w:br/>
        <w:t xml:space="preserve">Garabi Maintenance SL, domiciled in Idiazábal (Guipúzcoa), is a company dedicated to comprehensive logistics dependent on the bridge crane. It performs maintenance and repair services for different brands of bridge cranes, including the "Jaso" brand. It serves the northern area of the national territory (folio 33). It is a customer of spare parts from Talleres Jaso Industrial SL, with no agreement or contractual or shareholding relationship between them (folio 71).  </w:t>
        <w:br/>
        <w:t>Regarding Jaso Castilla SL, as noted, it is an occasional supplier with no agreement or contractual relationship between them (folios 33 and 121).”</w:t>
      </w:r>
    </w:p>
    <w:p>
      <w:r>
        <w:t xml:space="preserve">3. From the actions carried out, the Directorate of Investigation has obtained the following information about bridge cranes, the activity in which the alleged practices are framed:  </w:t>
        <w:br/>
        <w:t xml:space="preserve">“Bridge cranes are machines for the lifting and transport of materials. They basically consist of an elevated structure, formed by one or more metal beams, with a 4-wheel displacement system on lateral rails, driven by one or more electric motors, with a central lifting system using a hoist and hook.  </w:t>
        <w:br/>
        <w:t xml:space="preserve">The cranes, which are classified by their weight, cover a wide range, including cranes with high capacity (450 Tn) and general-use cranes of 0.5 Tn. Likewise, there is a great diversity of potential customers (basic infrastructure, steel industry, energy, aeronautics, shipyards, warehouses, industrial buildings, etc.).  </w:t>
        <w:br/>
        <w:t xml:space="preserve">Bridge cranes are included in the subsector of lifting and transport, within the sector of public works, construction, and mining machinery. According to the report “Spain: sector of public works, construction, and mining machinery” from ICEX (folios 133 to 147), the figures for the number of companies, employment, and turnover for the entire sector of public works, construction, and mining machinery during the period 2005-2008 were:  </w:t>
        <w:br/>
        <w:t xml:space="preserve">YEARS 2005 2006 2007 2008  </w:t>
        <w:br/>
        <w:t xml:space="preserve">Companies 106 110 113 114  </w:t>
        <w:br/>
        <w:t xml:space="preserve">Employment 10,022 12,425 12,825 11,500  </w:t>
        <w:br/>
        <w:t xml:space="preserve">Turnover  </w:t>
        <w:br/>
        <w:t xml:space="preserve">(millions 1,694 2,160 3,300 3,213  </w:t>
        <w:br/>
        <w:t xml:space="preserve">euros)  </w:t>
        <w:br/>
        <w:t xml:space="preserve">Source: “Spain: sector of public works, construction, and mining machinery.”  </w:t>
        <w:br/>
        <w:t xml:space="preserve">Sectoral notes from ICEX.  </w:t>
        <w:br/>
        <w:t xml:space="preserve">According to Jaso Industrial, the bridge crane sector is highly fragmented. There are numerous manufacturers of bridge cranes, making it difficult to estimate market shares. It considers the main competitors to be GH, Konecranes, Grupo Sut, Eydimen, Verlinde, SWF, Eleve, Abus, Vinca, Danielle, and P&amp;H, with the most important internationally being Konecrane and in Spain, GH (folio 69).  </w:t>
        <w:br/>
        <w:t xml:space="preserve">According to the investigations conducted by the Directorate of Investigation, there are indeed very diverse manufacturers and assemblers of cranes, including the following: GH, Konecranes, Acder Europa, Grupo Sut, Eydimen, Verlinde, SWF, Eleve, Abus, Vinca, Danielle, P&amp;H, Vicinay, Selmetron, Apel, Stahl, Donati, and Demag. They are multiproduct companies (bridge cranes, gantry cranes, semi-gantry cranes, jib cranes, elevating vehicles, etc.) with a wide range of products within the lifting machinery sector.  </w:t>
        <w:br/>
        <w:t xml:space="preserve">The assembly, repair, and maintenance of bridge cranes are carried out by the technical services of the manufacturers or by numerous small companies, independent of the manufacturer, that work with different brands and offer these services according to the technical assembly requirements of the bridge cranes requested by each customer.  </w:t>
        <w:br/>
        <w:t xml:space="preserve">According to Jaso Castilla (folio 80), there are numerous small companies dedicated to the repair of cranes, both of the Jaso brand (folios 70 and 71) and of other brands.  </w:t>
        <w:br/>
        <w:t xml:space="preserve">According to Reymo, the place of repair depends on the spare parts and tools used. Thus, if the tools are transportable to the location of the bridge crane and the components are available, the repair is carried out at the customer's location. If the dimensions and/or weight of the tools do not recommend their transport, the part to be repaired is moved to the workshop (folios 127, 128, and 129). Reymo states that some parts are generic and can be supplied by different companies, while others are specific and can only be provided by the company that shares the name of the bridge crane (folio 128).  </w:t>
        <w:br/>
        <w:t>It is worth noting the importance of the assembly, installation, and maintenance of bridge cranes in preventing occupational risks. This is reflected in the Technical Notes.</w:t>
      </w:r>
    </w:p>
    <w:p>
      <w:r>
        <w:rPr>
          <w:b/>
        </w:rPr>
        <w:t>[Pages 4–6]</w:t>
      </w:r>
    </w:p>
    <w:p>
      <w:r>
        <w:t>of Prevention NTP 736, 737, and 738 of the National Institute of Safety and Hygiene at Work of the Ministry of Labor and Social Affairs (folios 148 to 177)."</w:t>
      </w:r>
    </w:p>
    <w:p>
      <w:r>
        <w:t>4. Reymo states in its complaint that since its establishment, it has been part of the official service of Talleres Jaso, carrying out, for years, the activity of assembling and repairing "Jaso" bridge cranes, which accounted for more than 90% of its turnover. Reymo claims that, at the beginning of the year 2000, Talleres Jaso proposed the purchase of shares in the company or to establish it as a subsidiary in Valladolid. As the partners of Reymo were not willing to sell their shares, Talleres Jaso set up a distributor for Castilla y León, Jaso Castilla, in the same industrial area where Reymo is located (folio 2). According to the complainant, Jaso Castilla hired, within two months, all the employees of Reymo, initiated a defamation campaign against this company, and, according to the complainant, ceased supplying materials, although Reymo continued working for former clients. However, it is recorded that on March 10, 2003, the now-defunct Competition Defense Service agreed to archive file 2403/02, initiated by the complaint filed by Reymo Montajes Eléctricos SL against Talleres Jaso Industrial SL and Jaso Castilla SL, for refusal to supply parts and spare parts for the bridge cranes manufactured by Talleres Jaso (folios 48 to 51).</w:t>
      </w:r>
    </w:p>
    <w:p>
      <w:r>
        <w:t>5. From its actions, the Directorate of Investigation concludes the following facts: "On August 7 and September 2, 2009, Reymo requested via fax from Jaso Castilla the price and delivery time of various components manufactured by Talleres Jaso. According to Reymo, it was responded to by phone that such material would not be supplied, and after several letters of complaint, it was supplied, albeit temporarily. Faxes with the supply request and letters with the complaint are provided (folios 25 to 32). In October 2009, Reymo requested via fax from Garabi the supply of a part manufactured by Talleres Jaso (folio 34). Garabi made a price offer (folio 35). However, according to Reymo, a few days later, Garabi informed it by phone that it would not supply any parts manufactured by Talleres Jaso. For its part, Garabi claims (folio 120) that Reymo only requested the price of one part, but did not place any firm order and did not supply the part to Reymo because it refused to provide the technical data of the crane. On December 1, 2009, Reymo requested via fax from Jaso Castilla the supply of the same part requested from Garabi. On December 4, 2009, Reymo accepted the price offer from Jaso Castilla for the requested part. However, when Reymo went to collect the material, the supply was denied, citing new conditions consisting of the identification of the end customer to whom the part was intended. Reymo claimed via fax and through a lawyer for the supply of material. Faxes from Reymo with the request for price and delivery time of the material, a fax from Jaso Castilla with a price offer for the same part, and letters of complaint to Jaso Castilla and Talleres Jaso are provided (folios 38 to 47). Jaso Castilla states that it denied the supply of the requested part to Reymo because it requested the serial number of the crane for which the part was needed, and Reymo refused to provide it (folio 80).</w:t>
      </w:r>
    </w:p>
    <w:p>
      <w:r>
        <w:t>Reymo (folio 129) argues that it is not customary to request a serial number to identify the parts to be replaced and that it is usually sufficient to provide the model, type, or reference number or even, on occasions, to provide the damaged part as a sample. Garabi states that it requests the serial number of the crane from all its clients (folio 120). Jaso Castilla and Jaso Industrial assert (folios 72 and 80) that they request the serial number of the crane for which the spare parts are required to ensure that the supplied part is the correct one and to maintain the traceability of the spare parts in case of material defects, thus providing better service to the end customer. Jaso Castilla also states (folio 81) that it does not request customer data where the crane is installed, only the serial number that identifies the crane. Reymo provides a list of clients to whom it has performed repairs on Jaso cranes during the period from 01/01/2009 to 15/07/2010, which includes 42 inspections of Jaso cranes. These are companies located in the Autonomous Communities of Castilla y León and Cantabria (folio 130)."</w:t>
      </w:r>
    </w:p>
    <w:p>
      <w:r>
        <w:t>6. On July 19, 2010, in accordance with the provisions of Article 49.3 of the LDC, the DI submitted to this Council of the CNC a Proposal for the archiving of the actions followed in the referenced file. In its legal assessment of the matter, the Directorate of Investigation concludes the following: "What is being judged in this file is whether Jaso Castilla, Talleres Jaso, and Garabi have violated the competition regulations by denying Reymo the supply of spare parts for Jaso bridge cranes. It should be noted, as a preliminary matter, that Reymo has maintained its activity despite the reported events, as during the period from January 1, 2009, to July 15, 2010, it has carried out 42 repairs of Jaso bridge cranes. It follows that either the problem with the respondents has been isolated or Reymo has been able to obtain Jaso parts through other means not reported. According to the practice of the now-defunct Competition Defense Tribunal (and the current CNC Council), the refusal to supply is only considered a prohibited practice in two cases: when there is a concerted practice among several companies with a clear anti-competitive purpose (art. 1 LDC) or when it is a practice of a single company that has a dominant position in the market (art. 2 LDC). Regarding Article 1, there are no indications of an agreement among the three respondents. According to their statements, there is a shareholding relationship between Jaso Industrial and Jaso Castilla, and the latter acts as the official distributor of spare parts for Jaso cranes in Castilla y León and Cáceres, while Garabi has no shareholding or contractual relationship with Jaso Castilla or Jaso Industrial and is an occasional customer of Jaso Castilla. It is established and also, both Jaso Castilla and Garabi admit, that they denied a spare part to Reymo as long as it did not communicate the serial number of the broken crane. However, it is not established that they also requested customer data.</w:t>
      </w:r>
    </w:p>
    <w:p>
      <w:r>
        <w:t>5</w:t>
      </w:r>
    </w:p>
    <w:p>
      <w:r>
        <w:t>Likewise, the three respondents confirm that it is their usual practice not to supply parts if they do not have their reference number, but they do not request the data of the customers requiring the parts. In this way, they try to ensure that the supplied part is suitable for the crane to be repaired, as well as its traceability. Indeed, the concern of the authorities for safety in the installation, assembly, and maintenance of bridge cranes to avoid occupational risks, reflected in the Technical Prevention Standards of the National Institute of Safety and Hygiene at Work, would support the justification of the respondents for requesting the reference of the broken crane for safety reasons, to ensure the suitability of the parts and their traceability. In conclusion, the common practice of the respondents to request the reference number of the cranes to be repaired, even if it were the result of coordination among them, does not constitute a violation of Article 1 of the LDC, since it does not aim to restrict competition but to guarantee safety. Regarding a possible violation of Article 2, for it to occur, it is necessary for there to be a dominant position in a market defined as relevant and additionally, that there is an abuse of it. As explained, there has been no abuse by the respondents and furthermore, there is no dominant position by any of the respondents, since although the parties have not provided data on shares, they claim (and this Directorate of Investigation has been able to verify) that the bridge crane sector is highly fragmented and there are many competing companies, both national and international, in both manufacturing and repair and maintenance. In conclusion, considering that only the refusal to supply a spare part to Reymo is established, which is justified, that it has not prevented it from continuing its activity, and that there are no indications of a dominant position of the respondents, this Directorate of Investigation concludes that there has been no violation of Article 2 LDC.</w:t>
      </w:r>
    </w:p>
    <w:p>
      <w:r>
        <w:t>7. The Council of the National Competition Commission deliberated and issued this Resolution in its meeting of October 6, 2010.</w:t>
      </w:r>
    </w:p>
    <w:p>
      <w:r>
        <w:t>LEGAL GROUNDS</w:t>
      </w:r>
    </w:p>
    <w:p>
      <w:r>
        <w:t>Sole.- Article 49.1 of the LDC provides that the Directorate of Investigation shall initiate sanctioning proceedings when it observes reasonable indications of the existence of prohibited conduct in Articles 1, 2, and 3 of the Law. In number 3 of the same legal provision, it is added that the Council, at the proposal of the DI, shall agree not to initiate sanctioning proceedings.</w:t>
      </w:r>
    </w:p>
    <w:p>
      <w:r>
        <w:rPr>
          <w:b/>
        </w:rPr>
        <w:t>[Pages 7–7]</w:t>
      </w:r>
    </w:p>
    <w:p>
      <w:r>
        <w:t>and, consequently, the filing of the actions taken when it considers that there are no indications of infringement.</w:t>
      </w:r>
    </w:p>
    <w:p>
      <w:r>
        <w:t>In light of the complaint filed and the analysis of the facts carried out by the Directorate of Investigation, the Council does not perceive rational indications of infringement of Law 15/2007. The Council agrees with the arguments by which the Directorate of Investigation dismisses the existence of infringement of Articles 1, 2, and 3 of Law 15/2007. There is no bilateral agreement that violates the provisions of Article 1. It cannot be attributed to the respondents a dominant position from which it could infringe Article 2. Finally, there is no evidence in the behavior of the respondents of unfair conduct capable of affecting the general interest.</w:t>
      </w:r>
    </w:p>
    <w:p>
      <w:r>
        <w:t>Since there are no indications of restrictive practices prohibited by the Competition Defense Law, the Council considers the Proposal for Filing of the reserved actions taken within the framework of file S/0263/10 to be lawful.</w:t>
      </w:r>
    </w:p>
    <w:p>
      <w:r>
        <w:t>In merit to the above, and in view of the cited provisions and those of general application, the Council of the National Competition Commission</w:t>
      </w:r>
    </w:p>
    <w:p>
      <w:r>
        <w:t>HAS RESOLVED</w:t>
      </w:r>
    </w:p>
    <w:p>
      <w:r>
        <w:t>SOLE.- Not to initiate sanctioning proceedings and to file the reserved actions initiated against Talleres Jaso Industrial SL, Jaso Castilla SL, and Garabi Mantenimiento SL, pursuant to the complaint filed by Reymo Montajes Eléctricos SL for refusal to supply parts and spare parts for the bridge cranes manufactured by Talleres Jaso.</w:t>
      </w:r>
    </w:p>
    <w:p>
      <w:r>
        <w:t>Communicate this Resolution to the Directorate of Investigation and notify the complainant and the respondents, informing them that this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