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https://www.cnmc.es/expedientes/s026610</w:t>
      </w:r>
    </w:p>
    <w:p>
      <w:r>
        <w:t>Pages translated : 9</w:t>
      </w:r>
    </w:p>
    <w:p/>
    <w:p>
      <w:r>
        <w:rPr>
          <w:b/>
        </w:rPr>
        <w:t>[Pages 1–3]</w:t>
      </w:r>
    </w:p>
    <w:p>
      <w:r>
        <w:t>NATIONAL COURT</w:t>
        <w:br/>
        <w:t>Contentious-Administrative Chamber</w:t>
        <w:br/>
        <w:t>Section: 006</w:t>
        <w:br/>
        <w:t>MADRID</w:t>
        <w:br/>
        <w:t>Unique Identification Number: 28079 23 3 2011 0000883</w:t>
        <w:br/>
        <w:t>Procedure: ORDINARY PROCEDURE 0000059/2011</w:t>
        <w:br/>
        <w:t>Appellant: (FEPFI)</w:t>
        <w:br/>
        <w:t>Having declared the judgment issued in the contentious-administrative appeal noted in the margin as final, I have the honor to send a testimony of the same in order to carry out what was agreed, to issue the resolutions that proceed, and to practice whatever is necessary for the return of the administrative file, also requesting acknowledgment of receipt.</w:t>
        <w:br/>
        <w:t>In MADRID, on the twenty-sixth of January, two thousand twelve.</w:t>
        <w:br/>
        <w:t>THE COURT SECRETARY</w:t>
        <w:br/>
        <w:t>Signed: VICTOR GALLARDO SANCHEZ</w:t>
        <w:br/>
        <w:t>NATIONAL COMPETITION COMMISSION</w:t>
        <w:br/>
        <w:t>ENTRY</w:t>
        <w:br/>
        <w:t>RegOf: 1108 i RG 1108</w:t>
        <w:br/>
        <w:t>20/02/2012 11:44:25</w:t>
        <w:br/>
        <w:t>HON. MR. PRESIDENT OF THE NATIONAL COMPETITION COMMISSION. FILE S/0266/10, DGT.</w:t>
      </w:r>
    </w:p>
    <w:p>
      <w:r>
        <w:t>Appeal No.: 0000059/2011</w:t>
        <w:br/>
        <w:t>ADMINISTRATION</w:t>
        <w:br/>
        <w:t>NATIONAL COURT</w:t>
        <w:br/>
        <w:t>OF JUSTICE</w:t>
        <w:br/>
        <w:t>Contentious-Administrative Chamber</w:t>
        <w:br/>
        <w:t>SIXTH SECTION</w:t>
        <w:br/>
        <w:t>Appeal No.: 0000059/2011</w:t>
        <w:br/>
        <w:t>Type of Appeal: ORDINARY PROCEDURE</w:t>
        <w:br/>
        <w:t>General Registry No.: 00901/2011</w:t>
        <w:br/>
        <w:t>Plaintiff: SPANISH FEDERATION OF PHOTOGRAPHY AND IMAGE PROFESSIONALS</w:t>
        <w:br/>
        <w:t>Procurator: Mr. FRANCISCO INOCENCIO FERNANDEZ MARTINEZ</w:t>
        <w:br/>
        <w:t>Defendant: COMPETITION DEFENSE TRIBUNAL</w:t>
        <w:br/>
        <w:t>State Attorney</w:t>
        <w:br/>
        <w:t>Rapporteur Hon. Ms.: Ms. CONCEPCIÓN MÓNICA MONTERO ELENA</w:t>
        <w:br/>
        <w:t>JUDGMENT No.:</w:t>
        <w:br/>
        <w:t>Hon. Ms. President:</w:t>
        <w:br/>
        <w:t>Ms. MARÍA ASUNCIÓN SALVO TAMBO</w:t>
        <w:br/>
        <w:t>Hon. Magistrates:</w:t>
        <w:br/>
        <w:t>Ms. MERCEDES PEDRAZ CALVO</w:t>
        <w:br/>
        <w:t>Ms. CONCEPCIÓN MÓNICA MONTERO ELENA</w:t>
        <w:br/>
        <w:t>Ms. ANA ISABEL RESA GÓMEZ</w:t>
        <w:br/>
        <w:t>Ms. LUCÍA ACÍN AGUADO</w:t>
        <w:br/>
        <w:t>Madrid, on the twenty-first of December, two thousand eleven.</w:t>
        <w:br/>
        <w:t>Having seen the contentious-administrative appeal brought before the Contentious-Administrative Chamber of the National Court by the Spanish Federation of Photography and Image Professionals, and in their name and representation by the Procurator Mr. Francisco Inocencio Fernández Martínez, against the State Administration, directed and represented by the State Attorney, regarding the Resolution of the National Competition Commission dated December 13, 2010, concerning the filing of proceedings and the amount of the present appeal being indeterminate.</w:t>
      </w:r>
    </w:p>
    <w:p>
      <w:r>
        <w:t>Appeal No.: 0000059/2011</w:t>
        <w:br/>
        <w:t>BACKGROUND</w:t>
        <w:br/>
        <w:t>FIRST: A contentious-administrative appeal is filed by the Spanish Federation of Photography and Image Professionals, and in their name and representation by the Procurator Mr. Francisco Inocencio Fernández Martínez, against the State Administration, directed and represented by the State Attorney, regarding the Resolution of the National Competition Commission dated December 13, 2010, requesting the Chamber to declare the nullity of the contested Resolution and to order the continuation of the proceedings.</w:t>
        <w:br/>
        <w:t>SECOND: After the administrative file was requested and received, it was transferred to the appellant for them to submit a written claim within the legal deadline, which they did in due time and form, alleging the facts and legal grounds they deemed appropriate, and requesting what is literally stated in the claim.</w:t>
        <w:br/>
        <w:t>Within the legal deadline, the defendant administration also submitted a written response to the claim, opposing the plaintiff's request and alleging what they deemed appropriate for that purpose.</w:t>
        <w:br/>
        <w:t>THIRD: Having requested the taking of evidence, this was denied for not specifying the points of fact, and after the conclusion phase was completed, the proceedings were concluded and pending voting and judgment, for which it was agreed to set the date for December 20, 2011.</w:t>
        <w:br/>
        <w:t>FOURTH: In the processing of this case, the legal provisions established in the Law of Contentious-Administrative Jurisdiction, and in the other concordant and supplementary provisions thereof, have been observed.</w:t>
        <w:br/>
        <w:t>LEGAL GROUNDS</w:t>
        <w:br/>
        <w:t>FIRST: The object of the appeal in these proceedings is the Resolution of the National Competition Commission dated December 13, 2010, by which it agrees to file the proceedings initiated as a result of the complaint filed by the plaintiff.</w:t>
        <w:br/>
        <w:t>SECOND: From the Resolution of the CNC dated December 13, 2010, we must highlight the following:</w:t>
        <w:br/>
        <w:t>"The Royal Decree 170/2010 indicates in its article 3.2 that, when requested by the interested party, the recognition centers may manage, on their behalf, before the Provincial Traffic Headquarters, the extension of validity of the driving permits or licenses, for which they must provide the documents required for such purposes by the current regulations.</w:t>
        <w:br/>
        <w:t>Said Royal Decree establishes, in its article 15.2, the obligation to send to the Register of Drivers and Offenders of the DGT the result of the psychophysical fitness report by electronic means and immediately.</w:t>
      </w:r>
    </w:p>
    <w:p>
      <w:r>
        <w:rPr>
          <w:b/>
        </w:rPr>
        <w:t>[Pages 4–6]</w:t>
      </w:r>
    </w:p>
    <w:p>
      <w:r>
        <w:t>Appeal No.: 0000059/2011</w:t>
      </w:r>
    </w:p>
    <w:p>
      <w:r>
        <w:t>ADMINISTRATION:</w:t>
      </w:r>
    </w:p>
    <w:p>
      <w:r>
        <w:t>1) Also, the aforementioned article indicates that electronic communication shall comply with the computer protocol established by Order of the Minister of the Interior and must contain the personal data of the applicant and a photograph with the same characteristics required for obtaining the driving permit or license.</w:t>
      </w:r>
    </w:p>
    <w:p>
      <w:r>
        <w:t>The cited Resolution continues:</w:t>
      </w:r>
    </w:p>
    <w:p>
      <w:r>
        <w:t>"2. The DGT publishes on its website the 'User Manual for Medical Recognition Centers.' This Manual has been published in various versions (March 5, 2010; June 8, 2010, and September 20, 2010, pages 125 to 167 and 170 to 211) and it was scheduled to become mandatory for the CRCs starting November 3, 2010...</w:t>
      </w:r>
    </w:p>
    <w:p>
      <w:r>
        <w:t>4. In point 2.3.1 Recommendations for obtaining a passport-type photograph with a webcam from the Manual of June 8, 2010, the following could be read: 'The photograph must be taken at the driver recognition center, once the ophthalmological examination of the subject has been completed, since if it is taken before this, any glare that may occur during the photographic capture would alter the results of the visual capacity of the subject in question' (page 132). According to the DGT, the photograph referred to in point 2.3.1 of the Manual is the one associated with the result of the psychophysical fitness report that the CRCs must send to the DGT along with the fitness report, which must be obtained at the CRC in accordance with the technical procedures provided in the Manual and which will be the one that initially [Unless the driver, if desired, personally provides another photograph in paper format to be included in the license] uses the DGT for the license (pages 123 and 124).</w:t>
      </w:r>
    </w:p>
    <w:p>
      <w:r>
        <w:t>The DGT justifies the requirement to take photographs with webcams at the CRC to ensure the physical presence of the interested party at the CRC and that, therefore, the photograph appearing in the psychophysical fitness report corresponds effectively to the subject who has been examined.</w:t>
      </w:r>
    </w:p>
    <w:p>
      <w:r>
        <w:t>5. In point 2.4.2, Proposed compatible tablets, of the Manual of June 8, 2010, the following was indicated: 'Interlink Electronics. Although, as mentioned, the application supports all models that include "integrisign," due to functionalities that would not be used in several of the models, and given the possibility that new models may appear for which their correct integration with the application has not been verified, only three of them are listed in this document. The Interlink ePad (VP9801) model is recommended as it has been the most extensively tested and does not require any functionality that this model cannot resolve. Although it is possible to find these peripherals in some stores, for their acquisition, one must contact Investrónica, which is the distributor of Interlink Electronics in Spain' (page 141).</w:t>
      </w:r>
    </w:p>
    <w:p>
      <w:r>
        <w:t>Similarly, it is indicated in that section 'Topaz Systems. In any case, five models tested with the different supported operating systems and proposed conditions for the position of the Driver Recognition Centers are listed. Three of them are also recommended as they meet all the functionalities required by the application and present three different types of digitizing tablets (Aspect ratio 4/5, landscape 1/5, and portable).'</w:t>
      </w:r>
    </w:p>
    <w:p>
      <w:r>
        <w:t>Appeal No.: 0000059/2011</w:t>
      </w:r>
    </w:p>
    <w:p>
      <w:r>
        <w:t>ADMINISTRATION:</w:t>
      </w:r>
    </w:p>
    <w:p>
      <w:r>
        <w:t>6. In point 2.4.3, Proposed compatible webcams, of the Manual of June 2010, the following was expressed: 'Given that it is important, as previously mentioned, that the webcam remains on the market for an acceptable period of time, models from recognized manufacturers are proposed. Among the recognized manufacturers, Logitech is recommended as it has been verified that most models of the current series of desktop webcams (Logitech Webcams CXXX) include drivers with this support compatible with DirectShow for Windows XP and Windows 7, as well as maintaining support for VFW in their XP drivers. Logitech is not the only manufacturer whose drivers have this DirectShow or VFW support; in fact, the vast majority of webcams have it. But as previously mentioned, it is necessary for these drivers to support a video mode of a particular resolution that, although most webcams also comply, not all do.'</w:t>
      </w:r>
    </w:p>
    <w:p>
      <w:r>
        <w:t>Considering that some of the most recognized manufacturers in this type of device have been selected, the acquisition of these models can be made practically in any store or warehouse of computer peripherals' (pages 144 and 145).</w:t>
      </w:r>
    </w:p>
    <w:p>
      <w:r>
        <w:t>8. On November 3, 2010, the DGT sent this Research Directorate a new version of the Manual, dated September 20, 2010, in which all specific references to product brands or peripheral suppliers are removed (pages 170 to 211)."</w:t>
      </w:r>
    </w:p>
    <w:p>
      <w:r>
        <w:t>In light of the described facts, the CNC concludes:</w:t>
      </w:r>
    </w:p>
    <w:p>
      <w:r>
        <w:t>"...the Council does not perceive rational indications of infringement of the LDC. Likewise, the Council shares the arguments by which the DI dismisses the existence of infringement of Articles 1, 2, and 3 of Law 15/2007. No bilateral agreement that violates what is provided in Article 1 of the LDC is perceived. As for the prohibition of abuse of dominant position in Article 2 of the LDC, without the need to delineate the relevant market to determine the eventual dominant position of the DGT, and having eliminated any reference to specific product brands or recommended suppliers from the Manual, the Council considers that the obligation to take photographs for the psychophysical fitness report at the CRC may be justified for security reasons. Finally, for the aforementioned reasons, in the behavior of the DGT subject to the complaint, no elements of disloyalty are perceived that could motivate an action by the CNC based on Article 3 of the LDC. Therefore, as there are no indications of restrictive practices prohibited by the Competition Defense Law, the Council considers the Proposal for Filing made by the DI in relation to file S/0266/10 to be lawful."</w:t>
      </w:r>
    </w:p>
    <w:p>
      <w:r>
        <w:t>THIRD: 1) Now analyzing the content of the applicable norms:</w:t>
      </w:r>
    </w:p>
    <w:p>
      <w:r>
        <w:t>A) Article 1 of Law 15/2007 of July 17 provides: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w:t>
      </w:r>
    </w:p>
    <w:p>
      <w:r>
        <w:t>The direct or indirect fixing of prices or other commercial or service conditions.</w:t>
      </w:r>
    </w:p>
    <w:p>
      <w:r>
        <w:t>The limitation or control of production, distribution, technical development, or investments.</w:t>
      </w:r>
    </w:p>
    <w:p>
      <w:r>
        <w:t>The allocation of the market or sources of supply.</w:t>
      </w:r>
    </w:p>
    <w:p>
      <w:r>
        <w:t>The application, in commercial or service relationships, of unequal conditions for equivalent services that place some competitors at a disadvantage compared to others.</w:t>
      </w:r>
    </w:p>
    <w:p>
      <w:r>
        <w:t>The conditioning of contract execution on the acceptance of supplementary services that, by their nature or according to commercial practices, are unrelated to the object of such contracts."</w:t>
      </w:r>
    </w:p>
    <w:p>
      <w:r>
        <w:t>B) Article 2 of Law 15/2007 establishes: "1. The abusive exploitation by one or more companies of their dominant position in all or part of the national market is prohibited. 2. The abuse may consist, in particular, of:</w:t>
      </w:r>
    </w:p>
    <w:p>
      <w:r>
        <w:t>The direct or indirect imposition of prices or other commercial or service conditions that are inequitable.</w:t>
      </w:r>
    </w:p>
    <w:p>
      <w:r>
        <w:t>The limitation of production, distribution, or technical development to the unjustified detriment of companies or consumers.</w:t>
      </w:r>
    </w:p>
    <w:p>
      <w:r>
        <w:t>The unjustified refusal to satisfy purchase demands for products or service provision.</w:t>
      </w:r>
    </w:p>
    <w:p>
      <w:r>
        <w:t>The application, in commercial or service relationships, of unequal conditions for equivalent services that place some competitors at a disadvantage compared to others.</w:t>
      </w:r>
    </w:p>
    <w:p>
      <w:r>
        <w:t>The conditioning of contract execution on the acceptance of supplementary services that, by their nature or according to commercial practices, are unrelated to the object of such contracts."</w:t>
      </w:r>
    </w:p>
    <w:p>
      <w:r>
        <w:t>C) Article 3 of the same Law determines: "The National Competition Commission or the competent bodies of the Autonomous Communities will know, in the terms established by this Law for prohibited conduct, of acts of unfair competition that distort free competition and affect the public interest."</w:t>
      </w:r>
    </w:p>
    <w:p>
      <w:r>
        <w:t>We have repeatedly pointed out that the first of the cited precepts results in:</w:t>
      </w:r>
    </w:p>
    <w:p>
      <w:r>
        <w:t>a) The prohibited activity is any agreement or concerted conduct in any of its forms aimed at distorting free competition.</w:t>
      </w:r>
    </w:p>
    <w:p>
      <w:r>
        <w:t>b) The infringing type does not require that the purpose of violating free competition be achieved; it is sufficient that it is aimed at that end in the execution of the conduct, whether successful or not.</w:t>
      </w:r>
    </w:p>
    <w:p>
      <w:r>
        <w:t>c) The conduct must be capable of preventing, restricting, or distorting competition in all or part of the national market.</w:t>
      </w:r>
    </w:p>
    <w:p>
      <w:r>
        <w:t>Regarding the second of the cited precepts, the abuse of dominant position or economic dependence presupposes two elements: the existence of a dominant position in the reference market or economic dependence and the abuse of such position or dependence. The conducts considered abusive and specified in the precept itself are merely illustrative, as the essential element is that the conduct is effectively abusive even if it does not correspond to any of the assumptions indicated by the norm. The infringing type does not require that the purpose of violating free competition be achieved; it is sufficient that the conduct is objectively capable of achieving such an end, whether successful or not.</w:t>
      </w:r>
    </w:p>
    <w:p>
      <w:r>
        <w:t>As for Article 3, the assumption is constituted by acts of unfair competition; however, the intervention of the regulator is only possible when the conduct significantly affects free competition or the public interest.</w:t>
      </w:r>
    </w:p>
    <w:p>
      <w:r>
        <w:rPr>
          <w:b/>
        </w:rPr>
        <w:t>[Pages 7–9]</w:t>
      </w:r>
    </w:p>
    <w:p>
      <w:r>
        <w:t xml:space="preserve">Appeal No.: 0000059/2011  </w:t>
        <w:br/>
        <w:t xml:space="preserve">ADMINISTRATION:  </w:t>
        <w:br/>
        <w:t xml:space="preserve">Law 31/1991 establishes in its Article 4: "1. Any behavior that is objectively contrary to the requirements of good faith is deemed unfair...". Aside from the specifics contained in the Law itself, the essential element of the type is constituted by behavior contrary to good faith.  </w:t>
        <w:br/>
        <w:t xml:space="preserve">2) Regarding the nature of the General Directorate of Traffic, it must be observed in light of the doctrine by this Chamber, among others in the judgment of December 19, 2001, appeal 1273/1998:  </w:t>
        <w:br/>
        <w:t xml:space="preserve">"The Public Administration acts subject to Administrative Law and in the exercise of exorbitant powers recognized by it, but it also acts subject to Private Law and in the position that any private subject of Law would occupy in a legal relationship - regardless of certain privileges and limitations that are observed in such a position given the nature of the subject, but which cannot be identified with the exercise of the powers of imperium characteristic of the Public position -. Hence, in the very challenged Resolution, it is stated that the TDC has admitted the subjection of Public Administrations to the Competition Defense Law, and thus to the regulatory administrative body that is the TDC itself, when they act in the market as recipients or suppliers of goods or services.  </w:t>
        <w:br/>
        <w:t xml:space="preserve">With such clarifications, we delve into one of the controversial issues in the case, reflected in the reasoning of the Resolution subject to this appeal. Essentially, the conflicting issue can be summarized as follows: the action in the market of Public Administrations as a private subject justifies subjection to the Competition Defense Law when they act subject to Private Law; not so when they act as such Administrations subject to Administrative Law and in the exercise of exorbitant powers, acting in the exercise of the functions attributed to them by Law that prevents their subjection to the provisions of Law 16/1989.  </w:t>
        <w:br/>
        <w:t xml:space="preserve">Well, the essential issue being examined is to determine what powers have been exercised, that is, it must be established whether the reported conduct was followed in the exercise of the imperium characteristic of the Administration, or whether the powers exercised were outside Public Law, and this, because in the first case we would be facing a legal authorization that would justify the conduct, even if it is subsumable in the infringing type. We can initially affirm that the Public Administration, acting as such, is not subject to the principle of free competition - and this is given the legal authorization of the powers exercised and the position of Public Law it occupies - but it is another matter when it acts subject to Private Law, as a private subject of Law, and outside the legal authorization of powers. This situation arises when the Administration performs functions that are not its own as a Public Law entity vested with imperium, that is, when it acts outside the legal authorization of exorbitant powers for the fulfillment of its purposes. Such circumstances are examined in the challenged Resolution."  </w:t>
        <w:br/>
        <w:t xml:space="preserve">FOURTH: Well, in the present case, the relevant facts are two: A) the taking of photographs by the medical recognition centers that must be sent with the corresponding report to the DGT, and B) the provision in the version of the Manual of June 8, 2010, regarding the use of certain brands and suppliers to take such photos, which disappeared in the version of September 20, 2010. It is noted in the challenged act that it was scheduled to become mandatory for the CRCs starting November 3, 2010.  </w:t>
        <w:br/>
        <w:t xml:space="preserve">Regarding the first conduct, the CNC is correct in pointing out that the type of Article 1 requires concertation, whether express, tacit, or even conscious, and in the present case, there is no concertation since it is a unilateral agreement of the DGT based on the need to identify the person subjected to the medical examination.  </w:t>
        <w:br/>
        <w:t xml:space="preserve">The type of Article 2 requires the existence of abusive conduct, and this is not the case when it is justified for security reasons: "...The DGT justifies the requirement to take the photograph with webcams in the CRCs to ensure the physical presence of the interested party in the CRC and that, therefore, the photograph that appears in the psychophysical fitness report corresponds effectively with the subject who has been examined..."  </w:t>
        <w:br/>
        <w:t xml:space="preserve">The existence of an objective reason based on the need to verify the identity of the examined person excludes the concept of abuse.  </w:t>
        <w:br/>
        <w:t xml:space="preserve">Finally, bad faith, required for the application of the type of Article 3, is also not observed, for the same reason of the existence of an objective reason on which the behavior is based.  </w:t>
        <w:br/>
        <w:t xml:space="preserve">Regarding the mention of suppliers and models of the material to be used, the challenged Resolution is also correct in not considering it since it disappeared at the time of the investigation of the facts. To this, we must add that the manual was mandatory starting November 3, 2010, and at that time the provision had disappeared, so its impact on economic operators was null as it no longer existed.  </w:t>
        <w:br/>
        <w:t xml:space="preserve">FIFTH: We will now analyze, in light of the above, the arguments of the plaintiffs:  </w:t>
        <w:br/>
        <w:t xml:space="preserve">1.- There is no violation of Article 12 of Law 15/2007 since the conclusion reached by the CNC is precisely that the conduct is not subsumable in any infringing type and therefore the case should be archived. As we have pointed out, the Chamber appreciates this same circumstance.  </w:t>
        <w:br/>
        <w:t xml:space="preserve">2.- There is no incongruity in the analysis of Article 1 because it is true that it does not require a unilateral decision, but rather a concurrence. That the concurrence may be determined by a collective recommendation does not distort the assertion that the decision of the DGT acts on a unilateral premise in that it does not attend to the other economic operators but to the security in the identification of the person undergoing the medical examination.  </w:t>
        <w:br/>
        <w:t xml:space="preserve">3.- There is no violation of Articles 14 and 18 of the Constitution, the first because no valid comparison term is appreciated, the second, because the requirement to reproduce one's own image is to guarantee safety in traffic, an element that operates as a limit to the fundamental right.  </w:t>
        <w:br/>
        <w:t xml:space="preserve">4.- Regarding the lack of legal coverage, we reiterate that it is a means of identifying the examined person, and is therefore included in the legal obligation to identify the examined person as one more means - in addition to identification by their personal data -.  </w:t>
        <w:br/>
        <w:t xml:space="preserve">5.- Regarding legitimate trust, it is articulated on the idea of the expected behavior of the Administration. But it cannot be legitimately expected that the Administration pursues conduct that it knows is not constitutive of an infringement.  </w:t>
        <w:br/>
        <w:t xml:space="preserve">Appeal No.: 0000059/2011  </w:t>
        <w:br/>
        <w:t xml:space="preserve">ADMINISTRATION  </w:t>
        <w:br/>
        <w:t xml:space="preserve">We have already pointed out that the reference to products and suppliers was eliminated, so it cannot be assumed that certain companies are placed in a position of advantage.  </w:t>
        <w:br/>
        <w:t xml:space="preserve">Finally, regarding the harm to photography professionals, such harm - even if it exists - cannot prevent the correct identification of those who pass the medical controls to extend the license that authorizes them to drive motor vehicles, since such controls are closely related to road safety.  </w:t>
        <w:br/>
        <w:t xml:space="preserve">From the above, the appeal is dismissed.  </w:t>
        <w:br/>
        <w:t xml:space="preserve">No merits are appreciated that determine a special pronouncement on costs, according to the criteria contained in Article 139.1 of the Regulatory Law of Contentious Administrative Jurisdiction 29/1998 in its wording prior to Law 37/2011 - transitional provision ninth -.  </w:t>
        <w:br/>
        <w:t xml:space="preserve">HAVING SEEN the cited precepts and others of general and pertinent application, by the power granted to us by the Constitution:  </w:t>
        <w:br/>
        <w:t xml:space="preserve">WE DECREE  </w:t>
        <w:br/>
        <w:t xml:space="preserve">That dismissing the contentious-administrative appeal filed by the Spanish Federation of Photography and Image Professionals, and in its name and representation the Procurator Mr. Francisco Inocencio Fernández Martínez, against the State Administration, directed and represented by Mr. State Attorney, regarding the Resolution of the National Competition Commission dated December 13, 2010, we must declare and declare the challenged Resolution to be in accordance with the Law, and consequently we must confirm it and we confirm it, without express imposition of costs.  </w:t>
        <w:br/>
        <w:t>Thus, by this our judgment, which will be notified stating that against it there is a possibility of cassation appeal, following the prescribed indications in Article 248 of Organic Law 6/1985, and a testimony of which will be sent in due course to the originating office for legal purposes along with the file, if applicable,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