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https://www.cnmc.es/expedientes/s027210</w:t>
      </w:r>
    </w:p>
    <w:p>
      <w:r>
        <w:t>Pages translated : 6</w:t>
      </w:r>
    </w:p>
    <w:p/>
    <w:p>
      <w:r>
        <w:rPr>
          <w:b/>
        </w:rPr>
        <w:t>[Pages 1–3]</w:t>
      </w:r>
    </w:p>
    <w:p>
      <w:r>
        <w:t>RESOLUTION (Exp. S/0272/10, CENTRO INTERNACIONAL DE CULTURA CONTEMPORÁNEA, S.A.)</w:t>
        <w:br/>
        <w:t>COUNCIL</w:t>
        <w:br/>
        <w:t>Mr. Luis Berenguer Fuster, President</w:t>
        <w:br/>
        <w:t>Ms. Pilar Sánchez Núñez, Vice President</w:t>
        <w:br/>
        <w:t>Mr. Julio Costas Comesaña, Councilor</w:t>
        <w:br/>
        <w:t>Ms. María Jesús González López, Councilor</w:t>
        <w:br/>
        <w:t>Ms. Inmaculada Gutiérrez Carrizo, Councilor</w:t>
        <w:br/>
        <w:t>In Madrid, on August 31, 2010.</w:t>
        <w:br/>
        <w:t>The Council of the National Competition Commission (hereinafter, the Council), with the composition expressed in the margin, and with Councilor Ms. Inmaculada Gutiérrez Carrizo as the Rapporteur, has issued this Resolution in the sanctioning file S/0272/10, CENTRO INTERNACIONAL DE CULTURA CONTEMPORÁNEA, S.A., which arises from the complaint submitted by the company Nexo 601, S.A., in which behaviors attributed to Centro Internacional de Cultura Contemporánea, S.A. (CICC) are revealed that could allegedly constitute an infringement of Articles 1, 2, and 3 of Law 15/2007, of July 3, on the Defense of Competition (LDC).</w:t>
        <w:br/>
        <w:t>FACTUAL BACKGROUND</w:t>
        <w:br/>
        <w:t>1. On May 7, 2010, a document and brief note addressed by the Head of the Basque Competition Defense Service (SDC-PVA) were received by the Directorate of Investigation, informing that on March 23, 2010, they had received a complaint from the company Nexo 601, S.A., in which behaviors that could constitute an infringement of Articles 1, 2, and 3 of Law 15/2007, of July 3, on the Defense of Competition (LDC) were revealed.</w:t>
        <w:br/>
        <w:t>Specifically, the reported facts consist of the call for a tender for the contracting of a technological project whose economic-administrative clauses, in its section 12, would go beyond what is required in Article 48 of Law 30/2007, of October 30, on Public Sector Contracts, by not allowing the accumulation of economic-financial and technical-professional solvency for companies that associate in a Temporary Business Association (UTE).</w:t>
        <w:br/>
        <w:t>The Directorate of Investigation, however, considered that the competent body to know about the actions was the National Competition Commission (CNC) since the participating companies operated beyond the Basque Autonomous Community. On June 7, 2010, a document from SDC-PVA was received by the Directorate of Investigation, to which the documentation of the file was attached.</w:t>
        <w:br/>
        <w:t>2. According to the description by the Directorate of Investigation, the companies involved in this procedure are as follows:</w:t>
        <w:br/>
        <w:t>− The complainant NEXO 601, S.A. (NEXO) is a public limited company established in 1998, with its registered office in Madrid, whose corporate purpose is the installation, maintenance, and manufacture of telecommunications, video, and sound equipment, translation, documentation, and consultancy, as well as the development of engineering projects.</w:t>
        <w:br/>
        <w:t>− The respondent, Centro Internacional de Cultura Contemporánea, S.A. (CICC) is a public company created in 2001 by the City Council of San Sebastián, the Provincial Council of Guipúzcoa, and the Basque Government, with the aim of recovering for the city of San Sebastián the large tobacco factory in the Egia neighborhood and dedicating it to an International Center for Contemporary Culture.</w:t>
        <w:br/>
        <w:t>− IDOM Ingeniería y Consultoría, S.A., is a company whose main headquarters is in Bilbao, and which has offices throughout Spain and abroad, providing engineering, architecture, and consultancy services. It has been the awardee of the tender that is the subject of the complaint.</w:t>
        <w:br/>
        <w:t>3. From its actions, the Directorate of Investigation concludes the following facts:</w:t>
        <w:br/>
        <w:t>“In 2009, CICC proceeded to call a public tender for the open procedure for the contracting of engineering services for the technological project of the International Center for Contemporary Culture.</w:t>
        <w:br/>
        <w:t>In clause 12 of the Economic-Administrative Clauses governing this tender, it is established that bidders must demonstrate that they possess the following conditions of economic-administrative and technical-professional solvency:</w:t>
        <w:br/>
        <w:t>• Have developed, in the last three years, at least one audiovisual project whose investment cost in the referred project has been equal to or greater than 5,000,000 euros (excluding VAT).</w:t>
        <w:br/>
        <w:t>• Have provided services related to audiovisual projects and/or telecommunications for an amount exceeding 500,000 euros (including VAT) in the last three years, in total.</w:t>
        <w:br/>
        <w:t>• Have had, over the last three years and for each of those years, for at least half of each of them, in the company's workforce, at least six telecommunications engineers and three industrial engineers.</w:t>
        <w:br/>
        <w:t>Furthermore, in the aforementioned clause 12, it was established that UTEs that are temporarily constituted for this purpose could contract with CICC. Each of the members of the UTE must demonstrate their capacity and solvency as provided in the specifications, without, in any case, allowing the accumulation of the solvency of each of the companies for the purpose of determining the minimum required solvency, requiring the total solvency of each and every one of them.</w:t>
        <w:br/>
        <w:t>This clause 12 is the subject of the complaint by NEXO, as according to the complainant, “not allowing the accumulation of solvency by companies that associate in UTE, denaturalizes the very essence of UTEs, which is precisely to combine forces in the financial, technical, and logistical areas.” Furthermore, the complainant indicates that only one company would be in a position to demonstrate the required solvency, specifically IDOM Ingeniería y Consultoría, S.A., given that “all are small companies with fewer than 7-8 workers including auxiliary staff, making it impossible for them to meet the third requirement without joining forces with other companies of the same profile.” These conditions, consequently, “exclude other engineering companies in the audiovisual and telecommunications sector from competition.”</w:t>
        <w:br/>
        <w:t>According to the complainant, this clause 12 goes beyond what is required in Article 48 of Law 30/2007 on Public Sector Contracts, by not allowing the accumulation of solvency by companies that associate in UTE.</w:t>
        <w:br/>
        <w:t>On June 9, 2010, the definitive award of the tender subject to bidding was published on the contracting profile of the Centro Internacional de Cultura Contemporánea, which was awarded to the company IDOM Ingeniería y Consultoría, S.A., the company previously referred to by the complainant.”</w:t>
        <w:br/>
        <w:t>4. In its legal assessment of the matter, the Directorate of Investigation analyzes whether there are grounds to speak of an infringement against Articles 1, 2, and 3 in this case and concludes as follows. There are no indications of conduct that infringes Article 1 of the LDC, as this provision is applicable exclusively to bilateral or multilateral agreements between companies, but not to decisions, whatever their legal or formal designation, adopted by a single entity, as occurs in the analyzed case. In the case at hand, there are no indications of the existence of any agreement between companies that has led to the reported facts. Thus, the Economic-Administrative Clauses of this tender have, in principle, been drafted unilaterally by CICC.</w:t>
        <w:br/>
        <w:t>To appreciate an infringement of Article 2 of the LDC, the reported operator, in this case CICC, must have a dominant position in a defined relevant market and must have engaged in an abusive exploitation of that dominant position.</w:t>
        <w:br/>
        <w:t>In the present case, CICC does not act as a bidder, but as a demander of engineering services, a market in which it can undoubtedly be asserted that it does not hold a dominant position and, consequently, cannot engage in an abusive exploitation of that position.</w:t>
        <w:br/>
        <w:t>Regarding the violation of Article 3, the complainant does not specify the alleged unfair competition we would be facing. The Directorate of Investigation analyzes a possible infringement of Article 15 of the aforementioned Law, which establishes that: “it is considered unfair to take advantage in the market of a competitive advantage acquired through the infringement of the laws” and states in this regard:</w:t>
      </w:r>
    </w:p>
    <w:p>
      <w:r>
        <w:rPr>
          <w:b/>
        </w:rPr>
        <w:t>[Pages 4–6]</w:t>
      </w:r>
    </w:p>
    <w:p>
      <w:r>
        <w:t>“In this regard, according to Article 51.2 of Law 30/2007, of October 30, on Public Sector Contracts, “the minimum solvency requirements that the contractor must meet and the documentation required to prove them will be indicated in the tender announcement and specified in the contract specifications, and must be linked to its object and be proportional to it.” However, said article does not in any case refer to the obligation on the part of the contracting authority to admit the accumulation of solvency by companies that associate in a Temporary Business Association (UTE). On the other hand, Article 48 of Law 30/2007, to which NEXO refers in its writing, establishes the possibility for UTEs to contract with the public sector under certain conditions, but in no case does it make reference to the accumulation or not of the solvency for the companies that make up the UTE. For these reasons, there are no indications that CICC has committed any infringement of laws that have granted it a significant competitive advantage, as CICC has, in principle, acted within the margin established by Articles 48 and 51 of Law 30/2007, without prejudice to whether it has opted for a solution that could unnecessarily limit competition. Furthermore, there are also no indications that the reported conduct affects the public interest protected by Article 3 of the LDC, given the limited weight of CICC as a demander of engineering services in Spain. Considering the above, it can be concluded that there are no indications that the respondent has incurred in an infringement of Article 3 of the LDC.” In light of all the above, in accordance with the provisions of Article 49.3 of Law 15/2007, of July 3, on the Defense of Competition, the Directorate of Investigation proposes not to initiate the sanctioning procedure, as well as to archive the proceedings followed as a consequence of the complaint filed by Nexo 601, S.A., against Centro Internacional de Cultura Contemporánea, S.A. 5. The Council of the CNC deliberated and issued this Resolution in its meeting on July 28, 2010. LEGAL GROUNDS FIRST. Number 3 of Article 49 of the Law on the Defense of Competition provides that the Council, at the proposal of the Directorate of Investigation of the National Competition Commission, may agree not to initiate a sanctioning procedure for the alleged commission of the prohibited conducts in Articles 1, 2, and 3 of the Law and, consequently, order the archiving of the actions carried out by the Directorate of Investigation when it considers that there are no indications of infringement of Law 15/2007. In view of the complaint filed and the analysis of the facts carried out by the Directorate of Investigation, the Council does not perceive rational indications of infringement of Law 15/2007. A public company has convened a tender to obtain the provision of an engineering service, a tender that has been conducted within the limits set by the current contracting regulations. The Council shares the arguments by which the Directorate of Investigation dismisses the existence of an infringement of Articles 1, 2, and 3 of Law 15/2007. No bilateral agreement that violates the provisions of Article 1 is perceived. It cannot be attributed to CICC a dominant position from which it could infringe Article 2. Finally, CICC has not committed any unfair act and, in particular, any infringement of laws that have granted it a significant competitive advantage as an economic operator. Consequently, in view of the proposal from the Directorate of Investigation and not perceiving indications of infringement of Law 15/2007 in the reported facts, the Council considers that in accordance with the provisions of Article 49.3 of the aforementioned Law, it is appropriate not to initiate proceedings and, consequently, to archive the actions motivated by the complaint filed by NEXO 601 against CICC. SECOND. Without prejudice to the fact that this does not infringe Articles 1, 2, and 3 of Law 15/2007, this Council considers that the way in which the tender has been designed harms effective competition. CICC, as a bidder, has designed a specification that in its clause 12 requires that each of the members of the UTE meet the capacity and solvency requirements as provided in said specification, without admitting, in any case, the accumulation of the requirements of each of the members. This requirement is unnecessary and unjustified, since if a UTE presents itself to the tender, what is relevant is that, as an economic unit, it is capable of meeting the requirements that are demanded of it. Precisely one of the reasons why UTEs are formed to participate in tenders is to pool experience and technical and economic-financial solvency from different economic operators, thereby allowing access to tenders for companies that individually could not compete. Requiring the requirements from each of the members of the UTE unnecessarily restricts the participation capacity of many companies in tenders and, thereby, unjustifiably hinders competition in the bidding process. This is an issue that must undoubtedly be taken into consideration by the contracting administrations for the proper promotion of competition in public tenders. The design of tenders should not unnecessarily and unjustifiably limit the participation of companies to the detriment of the competition in the bidding process. Therefore, in virtue of the cited articles and others of general application, the Council of the National Competition Commission HAS RESOLVED SINGLE.- Not to initiate a sanctioning procedure and to archive the actions followed by the Directorate of Investigation as a consequence of the complaint filed by NEXO 601, S.A. against Centro Internacional de Cultura Contemporánea, S.A. (CICC) for alleged conducts contrary to Law 15/2007, of July 3, on the Defense of Competition. This Resolution shall be communicated to the Directorate of Investigation and notified to the complainant and the respondent,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