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https://www.cnmc.es/expedientes/s027510</w:t>
      </w:r>
    </w:p>
    <w:p>
      <w:r>
        <w:t>Pages translated : 6</w:t>
      </w:r>
    </w:p>
    <w:p/>
    <w:p>
      <w:r>
        <w:rPr>
          <w:b/>
        </w:rPr>
        <w:t>[Pages 1–3]</w:t>
      </w:r>
    </w:p>
    <w:p>
      <w:r>
        <w:t xml:space="preserve">RESOLUTION  </w:t>
        <w:br/>
        <w:t xml:space="preserve">Expte. S/0275/10 GROUPVISION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In Madrid, on October 4, 2010  </w:t>
        <w:br/>
        <w:t>The Council of the National Competition Commission (the Council), with the composition stated above and with the Rapporteur being Councilor Ms. Pilar Sánchez Núñez, has issued the following Resolution in the file S/0275/10 GROUPVISION, which arises from the complaint of ALGORITMOS PROCESOS Y DISEÑOS, S.A. (APD) against GROUPVISION CONSULTING, SL and GROUPVISION DISTRIBUTION SERVICES, SLU, for conduct allegedly contrary to Law 15/2007 on the Defense of Competition (LDC).</w:t>
      </w:r>
    </w:p>
    <w:p>
      <w:r>
        <w:t xml:space="preserve">1 FACTUAL BACKGROUND  </w:t>
        <w:br/>
        <w:t xml:space="preserve">1. On July 23, 2010, a Proposal for Filing from the Directorate of Investigation (hereinafter DI) regarding file S/0275/10 GROUPVISION was received by the Council of the CNC, in which, in view of all the actions taken and in accordance with the provisions of Article 49.3 of the current Law 15/2007, of July 3, on the Defense of Competition, it was proposed not to initiate the sanctioning procedure, as well as to file the proceedings considering that there are no indications of infringement of the LDC.  </w:t>
        <w:br/>
        <w:t xml:space="preserve">2. The Proposal for Filing that gives rise to this Resolution details the following background:  </w:t>
        <w:br/>
        <w:t>1. On June 21, 2010, a document from […], on behalf of the company Algoritmos Y Diseños, SA (hereinafter, APD) was received by this Directorate of Investigation, in which it denounces Groupvisión Consulting Tecnologías para la Colaboración, SL and Groupvision Distribution Services, SLU for alleged conduct prohibited by Articles 1 and 3 of Law 15/2007, of July 3, on the Defense of Competition (LDC), consisting of the refusal to issue documentation necessary for APD to submit a bid for the public tender (tender no. 00033/2010/ISE/SC) called by the Andalusian Public Entity for Educational Infrastructures (folios 1 to 62).</w:t>
      </w:r>
    </w:p>
    <w:p>
      <w:r>
        <w:t xml:space="preserve">2. After receiving the complaint, the Directorate of Investigation decided to carry out a confidential inquiry with the purpose of clarifying the facts, as a preliminary step before initiating the corresponding file, if applicable in this case, requesting, on June 30, 2010, that APD briefly describe its activity and the geographical area in which it operates, whether it was reporting the Andalusian Public Entity for Educational Infrastructures, and to substantiate the facts it was reporting, warning that if it failed to rectify, its complaint would be filed without further processing, without prejudice to the Directorate of Investigation being able to continue, if applicable, the proceedings ex officio (folios 63 to 65).  </w:t>
        <w:br/>
        <w:t xml:space="preserve">At the time of drafting this report, no written document has been received from the complainant.  </w:t>
        <w:br/>
        <w:t xml:space="preserve">3. On the same date, the companies Groupvision Consulting Tecnologías para la Colaboración, SL and Groupvision Distribution Services, SLU, among others, were asked whether they are one or two companies, their relationship with the complainant, and the justification for their refusal to grant APD the documentation it needed to participate in the public tender called by the Andalusian Public Entity for Educational Infrastructures (folios 68 and 69).  </w:t>
        <w:br/>
        <w:t xml:space="preserve">On July 12, Groupvisión Consulting Tecnologías para la Colaboración, SL and Groupvision Distribution Services, SLU responded to the information request (folios 72 to 93). After receiving these two complaints, the DI carried out the following actions.”  </w:t>
        <w:br/>
        <w:t xml:space="preserve">3. The parties involved in this file are, as described in the proposal for filing from the DI, the following:  </w:t>
        <w:br/>
        <w:t xml:space="preserve">“1. Complainant: Algoritmos Procesos y Diseños, SA. (APD)  </w:t>
        <w:br/>
        <w:t xml:space="preserve">It is a company established in 1980, dedicated to the design, manufacture, assembly, and marketing of IT and communications products and services, with its main market being the Public Administration, both state and regional and local, and its area of influence is national (folio 1).  </w:t>
        <w:br/>
        <w:t xml:space="preserve">According to APD, its relationship with the respondents is long-standing. Since APD has participated in public calls, it has always relied on the collaboration of Groupvisión Consulting Tecnologías para la Colaboración, SL and Groupvision Distribution Services, SLU, as a supplier of digital whiteboards of the SMART brand.  </w:t>
        <w:br/>
        <w:t xml:space="preserve">APD developed an adjustable support that allows moving and positioning the SMART whiteboards at the required height in each case. This support is only valid for these whiteboards and cannot be used on whiteboards from other suppliers, unless the appropriate mechanical developments and modifications are made (folio 3).  </w:t>
        <w:br/>
        <w:t>APD estimates that it represents 14% of the purchases of IT equipment made by the Administration, according to the Reina Report 2009 prepared by the Ministry of the Presidency. Of that 14%, approximately 80% is destined for the educational sector of the Public Administration, and that percentage would be divided into 60% in sales of personal computers, 20% of interactive digital whiteboards, and the remaining 20% would be equally divided between laptops and other peripherals. Sales of interactive digital whiteboards by APD to the Public Administration could be estimated at 2.24% at the national level (folio 6).</w:t>
      </w:r>
    </w:p>
    <w:p>
      <w:r>
        <w:t xml:space="preserve">2. Respondents: Groupvisión Consulting Tecnologías para la Colaboración, SL and Groupvision Distribution Services, SLU  </w:t>
        <w:br/>
        <w:t xml:space="preserve">Groupvisión Consulting Tecnologías para la Colaboración, SL is engaged, through a channel of IT companies, in the distribution, in Spain and Portugal, of technological products manufactured by third parties; among others, products from the manufacturer SMART Technologies Inc.  </w:t>
        <w:br/>
        <w:t xml:space="preserve">Groupvision Distribution Services, S.L.U. belongs to the former and distributes its products through audiovisual companies.  </w:t>
        <w:br/>
        <w:t xml:space="preserve">None of them is a manufacturer of products (folio 72).”  </w:t>
        <w:br/>
        <w:t xml:space="preserve">4. The DI, in the course of the investigation, has verified the following facts:  </w:t>
        <w:br/>
        <w:t xml:space="preserve">1. “According to the complainant, the Andalusian Public Entity for Educational Infrastructures had previously called for various tenders prior to the complaint, in which the complainant itself had been awarded (folio 1).  </w:t>
        <w:br/>
        <w:t xml:space="preserve">2. According to the complainant, on May 4, 2010, the Andalusian Public Entity for Educational Infrastructures called for an open procedure (file no. 00033/2010/ISE/SC) for the provision to schools dependent on the Junta of various educational materials, including digital whiteboards of the type marketed by Groupvisión. The tender specifications included the following conditions (folios 2 and 3):  </w:t>
        <w:br/>
        <w:t xml:space="preserve">- a penalty consisting of the loss of points in the evaluation of the offers from those companies that “have suffered penalties as a result of breaches in similar contracts with the Andalusian Public Entity for Educational Infrastructures and Educational Services.”  </w:t>
        <w:br/>
        <w:t xml:space="preserve">- that the bidders of products manufactured by third parties present a letter issued by the manufacturer that not only authorized the bidder to offer its product but also certified that the bidder was an approved company by the manufacturer and an authorized installer. This condition had not been required in the previous tender of 2009.  </w:t>
        <w:br/>
        <w:t>3. According to the complainant, once the tender was called, APD, as it had done on other occasions, contacted Groupvision to coordinate the preparation of the offer it was going to present to the Andalusian Public Entity for Educational Infrastructures, whose deadline ended on June 7, 2010. The complainant asserts that the first meeting for this purpose took place on May 12, 2010, and in it, the representative of Groupvision stated that their company had held a prior meeting with the Andalusian Public Entity for Educational Infrastructures and it had recommended them not to make</w:t>
      </w:r>
    </w:p>
    <w:p>
      <w:r>
        <w:rPr>
          <w:b/>
        </w:rPr>
        <w:t>[Pages 4–6]</w:t>
      </w:r>
    </w:p>
    <w:p>
      <w:r>
        <w:t>neither the economic offer nor the manufacturer's certificate was delivered to any of the companies that had been awarded the previous project, among them, APD. However, APD claims that it managed to redirect the meeting and finally, the details of the preparation of the technical and economic offer that APD would present to the Andalusian Public Entity for Educational Infrastructures were discussed (folios 3 and 4).</w:t>
      </w:r>
    </w:p>
    <w:p>
      <w:r>
        <w:t>4. APD claims that from May 12 to June 1, 2010, Groupvision was complying with what was agreed in the meeting of May 12, that is, to provide APD with the technical sheet of its product, economic conditions, and administrative documentation that would allow APD to participate in the bidding of the Andalusian Public Entity for Educational Infrastructures (folios 3 and 4).</w:t>
      </w:r>
    </w:p>
    <w:p>
      <w:r>
        <w:t>5. APD claims that on June 1, 2010, it had not received either the economic offer or the manufacturer's certification, despite having requested it repeatedly. According to the complainant, after various conversations with different officials of Groupvision, the latter had decided to follow the instructions of the Andalusian Public Entity for Educational Infrastructures and not to provide APD with the necessary documentation to participate in the public tender (folios 4 and 5).</w:t>
      </w:r>
    </w:p>
    <w:p>
      <w:r>
        <w:t>6. APB asserts that on June 2, 2010, it made a final call to Groupvision, without obtaining any result since, according to the complainant, Groupvision stated “that it could replace APD but not the Andalusian Public Entity for Educational Infrastructures.” On that same date, the management of APD considered the possibility of changing from APD's initial offer, but that idea was not viable, as from the beginning APD had bet on Groupvision's product (folio 5).</w:t>
      </w:r>
    </w:p>
    <w:p>
      <w:r>
        <w:t>7. On June 4, 2010, the management of APD withdrew its desire to participate in the public procedure called by the Andalusian Public Entity for Educational Infrastructures, communicating this decision to Groupvision via a burofax.</w:t>
      </w:r>
    </w:p>
    <w:p>
      <w:r>
        <w:t>8. According to Groupvisión Consulting Tecnologías para la Colaboración, SL and Groupvision Distribution Services, SLU, on June 4, 2010, a training course was held in Seville attended by technical staff from 21 companies that were applying for the tender mentioned in the complaint and who received, on that same date, after passing the relevant evaluation criteria, a certificate issued by the manufacturer SMART Technologies Inc, manufacturer of the SMART SB680V boards. Groupvisión Consulting Tecnologías para la Colaboración, SL and Groupvision Distribution Services, SLU claim that they do not provide the manufacturer's certificate to any company that has not attended the course offered for that purpose (folios 72 and 72).</w:t>
      </w:r>
    </w:p>
    <w:p>
      <w:r>
        <w:t>9. Groupvisión Consulting Tecnologías para la Colaboración, SL and Groupvision Distribution Services, SLU understand that APD could have submitted an offer without that certificate and have delivered it within the time frame established by the State Contracts Law for the rectification of the offer. Furthermore, since there are other brands of interactive digital boards, APD could have submitted certificates from other manufacturers (folios 72 and 72).”</w:t>
      </w:r>
    </w:p>
    <w:p>
      <w:r>
        <w:t>5. Analyzing the previous facts, the DI concludes its assessment with a Proposal for Filing, argued as follows: “Royal Decree 261/2008 of February 22, which approves the Competition Defense Regulation, states in its article 25.2 the minimum content of the complaint, establishing in its third section that, if it does not meet the indicated requirements, the complainant will be required to rectify the deficiency or provide the required documentation within ten days, indicating that, if they do not do so, they will be considered to have withdrawn the complaint, without prejudice to the Directorate of Investigation being able to act ex officio.</w:t>
      </w:r>
    </w:p>
    <w:p>
      <w:r>
        <w:t>The complainant has not responded to the request for rectification made by this Directorate, which lacks evidence of an alleged infringement of the LDC since, on the one hand, the complainant does not provide them in their complaint, beyond mere statements that do not coincide with those of the respondents and, on the other hand, based on the information provided by the respondents, no evidence of an infringement of the LDC can be deduced, since it seems that the refusal to provide the documentation was justified (HA 8) and moreover, APD could have turned to alternative suppliers to meet the necessary requirements to participate in the tender (HA 9).”</w:t>
      </w:r>
    </w:p>
    <w:p>
      <w:r>
        <w:t>And not finding other indications of an infringement of the LDC in the analyzed conduct, it proposes that the Council proceed to archive the actions carried out based on article 49.3 of the LDC.</w:t>
      </w:r>
    </w:p>
    <w:p>
      <w:r>
        <w:t>6. The Council deliberated and issued this Resolution in its plenary session on September 29, 2010.</w:t>
      </w:r>
    </w:p>
    <w:p>
      <w:r>
        <w:t>LEGAL GROUNDS</w:t>
      </w:r>
    </w:p>
    <w:p>
      <w:r>
        <w:t>FIRST.- Article 49.3 of the LDC provides that the Council, at the proposal of the DI, may agree not to initiate sanctioning proceedings for the alleged commission of the prohibited conducts in articles 1, 2, and 3 of the aforementioned Law and, consequently, the filing of the actions carried out when it considers that there are no indications of infringement.</w:t>
      </w:r>
    </w:p>
    <w:p>
      <w:r>
        <w:t>Article 25.1 of Royal Decree 261/2008, of February 22, regarding the initiation of sanctioning proceedings, provides that it will always be initiated ex officio by the DI, by virtue of its own initiative, by complaint, or at the initiative of the Council of the CNC. Number 5 of this regulatory provision adds that the formulation in the form of a complaint does not bind the DI to initiate a sanctioning procedure, and that the resolution of the Council to archive the actions must indicate the reasons why the initiation of the procedure does not proceed in accordance with article 49 of the LDC, which will be communicated to the complainant.</w:t>
      </w:r>
    </w:p>
    <w:p>
      <w:r>
        <w:t>According to what is stated in the Background of Fact 5 of this Resolution, the DI concluded the actions proposing to the Council not to initiate sanctioning proceedings, as well as the filing of the same, considering that there were no indications of infringement of the LDC.</w:t>
      </w:r>
    </w:p>
    <w:p>
      <w:r>
        <w:t>SECOND.- The Council of the CNC, having analyzed the proposal of the Directorate of Investigation, agrees with its assessment. According to the complainant, the conduct likely to constitute an infringement of article 1 and article 3 of the LDC would have been the refusal to issue necessary documentation for the complainant to submit an offer for the public tender (tender no. 00033/2010/ISE/SC) called by the Andalusian Public Entity for Infrastructures. After the investigations carried out by the DI, no evidence has been found that such a refusal occurred in the terms reported, and therefore there are no indications of infringement of the LDC that would lead to the initiation of the corresponding sanctioning file. Therefore, the application of article 49.3 of the LDC is appropriate and consequently the filing of the actions.</w:t>
      </w:r>
    </w:p>
    <w:p>
      <w:r>
        <w:t>For all these reasons, in view of the cited provisions and those of general application, the Council of the National Competition Commission.</w:t>
      </w:r>
    </w:p>
    <w:p>
      <w:r>
        <w:t>HAS RESOLVED</w:t>
      </w:r>
    </w:p>
    <w:p>
      <w:r>
        <w:t>SOLE.- Not to initiate sanctioning proceedings against GROUPVISION CONSULTING, SL and GROUPVISION DISTRIBUTION SERVICES SLU, and to archive the actions followed in the context of file S/0275/10 GROUPVISION.</w:t>
      </w:r>
    </w:p>
    <w:p>
      <w:r>
        <w:t>2 This Resolution shall be communicated to the Directorate of Investigation and notified to the complainants and the companies reported, informing them that it concludes the administrative route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