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https://www.cnmc.es/expedientes/s028010</w:t>
      </w:r>
    </w:p>
    <w:p>
      <w:r>
        <w:t>Pages translated : 30</w:t>
      </w:r>
    </w:p>
    <w:p/>
    <w:p>
      <w:r>
        <w:rPr>
          <w:b/>
        </w:rPr>
        <w:t>[Pages 1–3]</w:t>
      </w:r>
    </w:p>
    <w:p>
      <w:r>
        <w:t>CNC</w:t>
        <w:br/>
        <w:t>NATIONAL COMPETITION COMMISSION</w:t>
        <w:br/>
        <w:t>RESOLUTION</w:t>
        <w:br/>
        <w:t>(Expte. S/0280/10, SUZUKI-HONDA)</w:t>
        <w:br/>
        <w:t>Council:</w:t>
        <w:br/>
        <w:t>Mr. Joaquín García Bernaldo de Quirós, President</w:t>
        <w:br/>
        <w:t>Ms. Pilar Sánchez Núñez, Vice President</w:t>
        <w:br/>
        <w:t>Mr. Julio Costas Comesaña, Councilor</w:t>
        <w:br/>
        <w:t>Ms. María Jesús González López, Councilor</w:t>
        <w:br/>
        <w:t>Ms. Inmaculada Gutiérrez Carrizo, Councilor</w:t>
        <w:br/>
        <w:t>Ms. Paloma Ávila de Grado, Councilor</w:t>
        <w:br/>
        <w:t>Mr. Luis Diez Martín, Councilor</w:t>
        <w:br/>
        <w:t>In Madrid, on January 19, 2012.</w:t>
        <w:br/>
        <w:t>The Council of the National Competition Commission, with the composition stated above and with Mr. Julio Costas Comesaña as Rapporteur, has issued this Resolution in the sanctioning file S/0280/10, initiated by the Investigation Directorate against MONTESA HONDA SA and SUZUKI MOTOR ESPAÑA SA, for alleged restrictive competition practices prohibited under Article 1 of Law 15/2007, of July 3, on the Defense of Competition, consisting of the exchange of strategic commercial information regarding the price of certain motorcycle models.</w:t>
        <w:br/>
        <w:t>FACTUAL BACKGROUND</w:t>
        <w:br/>
        <w:t>1. On December 17, 2009, personnel from the Investigation Directorate (DI) of the National Competition Commission (CNC) conducted a home inspection at the headquarters of MONTESA HONDA SA (HONDA), as part of a confidential investigation numbered S/0154/09.</w:t>
        <w:br/>
        <w:t>On April 26, 2010, the DI agreed to initiate a sanctioning file registered under number S/0154/09 against MONTESA HONDA SA; SOAL MOTOS SL; FESTER SL; MOTOR CITY SL; MOTOL SA; MOTOLEDO SL; EXTREMOTO SPORTCYCLE SL; ELITE RACING SL; and BARRAL MOTO SL; for restrictive competition practices prohibited under Article 1 of Law 15/2007, of July 3, on the Defense of Competition (LDC), consisting of agreements to set minimum resale prices for HONDA motorcycles, as well as the commercial margins that dealers grant to their agents (or sub-distributors) for the sales they make, in the provinces of Madrid, Toledo, and Guadalajara.</w:t>
        <w:br/>
        <w:t>2. Furthermore, on March 24, 2010, the DI conducted an inspection at the headquarters of SUZUKI MOTOR ESPAÑA SA (SUZUKI), as part of the confidential investigation No. S/0237/10.</w:t>
        <w:br/>
        <w:t>3. In the context of analyzing the electronic documentation collected during the inspection on December 17, 2009, at the headquarters of MONTESA HONDA SA, the instructor of file S/0154/09 detected the existence of an email dated January 21, 2009, sent at 12:45 hours by [...] —an employee of SUZUKI— to [...] —an employee of HONDA— in which sensitive commercial information from SUZUKI was sent.</w:t>
        <w:br/>
        <w:t>Since the exchanges of information between competitors were not part of the facts for which file S/0154/09 was initiated, and given that there could be confidentiality issues concerning the other parties involved in file S/0154/09, it was not agreed to incorporate said email into file S/0154/09.</w:t>
        <w:br/>
        <w:t>Likewise, in the context of analyzing the electronic documentation collected during the inspection on March 24, 2010, at the headquarters of SUZUKI, in the confidential investigation S/0237/10, the existence of an email dated January 21, 2009, sent at 14:53 hours by [...] —an employee of HONDA— to [...] —an employee of SUZUKI— was detected, in which sensitive commercial information from HONDA was sent.</w:t>
        <w:br/>
        <w:t>4. On July 7, 2010, the DI agreed to open the confidential investigation S/0280/10, to which it was agreed to incorporate, through two agreements for the deduction of testimony and breakdown of documents of the same date, certain documentation from file S/0154/09 (folios 1 to 7) and from confidential investigation S/0237/10 (folios 8 to 13), which referred to the exchange of sensitive commercial information between HONDA and SUZUKI mentioned above, in order to analyze whether there were indications from which the commission of an infringement classified in the LDC could be derived that justified the initiation of a sanctioning file for restrictive competition practices.</w:t>
        <w:br/>
        <w:t>These deductions of testimony and breakdowns of documents were notified respectively to HONDA and SUZUKI, so that within five days they could present any allegations they deemed appropriate.</w:t>
        <w:br/>
        <w:t>2</w:t>
      </w:r>
    </w:p>
    <w:p>
      <w:r>
        <w:t>NATIONAL COMPETITION COMMISSION</w:t>
        <w:br/>
        <w:t>On July 16, 2010, a letter from MONTESA was received by the CNC opposing the breakdown of the aforementioned email collected at its headquarters (folios 14 to 17). For this, MONTESA argues that said email was unrelated to the purpose of the home inspection conducted at its headquarters on December 17, 2009. Furthermore, MONTESA points out that the exchange of this information responds to the entry into force of the new circulation tax. The DI agreed on July 20, 2010, to dismiss these allegations (folios 18 to 19).</w:t>
        <w:br/>
        <w:t>On July 20, 2010, the Investigation Directorate proceeded to incorporate into the reserved actions file S/0280/10 the documentation that had been broken down or from which testimony had been deduced, from file S/0154/09 (folios 23 to 71) and from file S/0237/10 (folios 72 to 108).</w:t>
        <w:br/>
        <w:t>On August 6, 2010, HONDA submitted an appeal to the Council of the CNC against the aforementioned agreement of the DI, which was processed under file number R/0053/10 (folios 152 to 162), which the Council dismissed by Resolution dated October 7, 2010, among other reasons, because it understood that the alleged agreement between HONDA and SUZUKI was indeed covered by the Investigation Order that led to the home inspection at MONTESA's headquarters on December 17, 2009 (folios 237 to 243).</w:t>
        <w:br/>
        <w:t>5. The sanctioning file S/0280/10 was formally initiated on July 21, 2010, against MONTESA HONDA SA and SUZUKI MOTOR ESPAÑA SA, for restrictive competition practices prohibited under Article 1 of the LDC, consisting of the exchange of sensitive commercial information regarding HONDA and SUZUKI motorcycles (folios 109 to 110).</w:t>
        <w:br/>
        <w:t>On July 29, 2010, a letter from SUZUKI was received by the CNC expressing its opposition to the initiation of this file.</w:t>
        <w:br/>
        <w:t>6. On the same day, July 21, 2010, the DI agreed to initiate the sanctioning file S/0237/10 against SUZUKI MOTOR ESPAÑA SA; MOTORBIKE WORLD GRANADA SL; MOTOS ANDRÉS SL; DYTE MOVIL SL; MOTOFUNCIÓN SL; MOTORECAMBIOS Y ACCESORIOS SL; SAIMOTO MOTOR SL; MOTORRAD CENTRO SL; MOTOSPORT VILLALBA SA; CODISMOTO SL; and GESTIÓN MOTOMERCADO SL, for restrictive competition practices prohibited under Article 1 of the LDC, consisting of agreements to set minimum resale prices for SUZUKI motorcycles, the commercial margins that dealers grant to their agents (or sub-distributors) for the sales they make, as well as other commercial conditions in at least the provinces of Madrid and Granada.</w:t>
        <w:br/>
        <w:t>3</w:t>
      </w:r>
    </w:p>
    <w:p>
      <w:r>
        <w:rPr>
          <w:b/>
        </w:rPr>
        <w:t>[Pages 4–6]</w:t>
      </w:r>
    </w:p>
    <w:p>
      <w:r>
        <w:t>CNC</w:t>
        <w:br/>
        <w:t>NATIONAL COMPETITION COMMISSION</w:t>
        <w:br/>
        <w:t>7. On July 29, 2010, the instructor of case S/0237/10 agreed to extract testimony from certain documentation collected during the home inspection of SUZUKI, for its incorporation into case S/0280/10 (folios 146 to 150), which was agreed upon on August 30, 2010 (folio 172).</w:t>
        <w:br/>
        <w:t>8. Following various requests for information to the accused companies and to the National Association of Two-Wheel Sector Companies (Anesdor), in accordance with the provisions of Article 50.3 of the LDC, on April 1, 2011, the DI formulated the Statement of Facts (PCH), which was notified to the parties (folios 1211 to 1224). SUZUKI submitted allegations to the PCH with an entry date at the CNC on April 26, 2010, in which it concludes that no infringement of the LDC has been proven, and proposes the practice of documentary evidence consisting of the submission of all documents that prove the degree of effective application, by SUZUKI, of its promotions from the year 2009, which was accepted by the DI on April 28, 2010, and on which the accused companies made the assessments they deemed appropriate to their rights. HONDA submitted allegations to the PCH by means of a document entered at the CNC on May 6, 2010, in which it argues the non-existence of prohibited conduct under the LDC in the proven facts.</w:t>
        <w:br/>
        <w:t>9. On May 11, 2011, the DI requested HONDA and SUZUKI certain information regarding their turnover, which was sent on May 13 and 26, respectively.</w:t>
        <w:br/>
        <w:t>10. On June 15, 2011, in accordance with the provisions of Article 33.1 of Royal Decree 261/2008, of February 22, which approves the Competition Defense Regulation (RDC), the DI agreed to close the instruction phase in the reference case, in order to draft the resolution proposal provided for in Article 50.4 of the LDC, which was notified to the parties.</w:t>
        <w:br/>
        <w:t>11. On June 16, 2011, in application of the provisions of Article 50.4 of the LDC and Article 34.1 of the RDC, the DI formulated a Resolution Proposal which was notified to the parties, who submitted allegations to this Council by means of documents entered at the CNC on July 11, 2011 (SUZUKI) and the following 13th (HONDA).</w:t>
        <w:br/>
        <w:t>12. On July 13, 2011, in accordance with the provisions of Article 50.5 of the LDC and Article 34.2 of the RDC, the DI submitted to this Council the case S/0280/10 SUZUKI/HONDA along with a Report containing the Resolution Proposal notified to the parties, as well as the allegations received regarding it.</w:t>
      </w:r>
    </w:p>
    <w:p>
      <w:r>
        <w:t>("C»:</w:t>
        <w:br/>
        <w:t>NATIONAL COMPETITION COMMISSION</w:t>
        <w:br/>
        <w:t>In particular, the DI proposes to the Council of the National Competition Commission:</w:t>
        <w:br/>
        <w:t>"FIRST: That the existence of prohibited conduct under Article 1 of the LDC be declared, consisting of exchanges of sensitive commercial information between competitors in January 2009.</w:t>
        <w:br/>
        <w:t>SECOND: That MONTESA HONDA, S.A. and SUZUKI MOTOR ESPAÑA, S.A. be declared responsible for said infringement.</w:t>
        <w:br/>
        <w:t>THIRD: That the prohibited conduct be classified, for the purposes of determining the sanction to be imposed, as a very serious infringement under Article 62.4. a) of the LDC.</w:t>
        <w:br/>
        <w:t>FOURTH: That the sanction provided for in Article 63 of the LDC be imposed, taking into account the criteria for determining the sanction provided in Article 64 of the LDC.</w:t>
        <w:br/>
        <w:t>FIFTH: That MONTESA HONDA, S.A. and SUZUKI MOTOR ESPAÑA, S.A. be ordered to refrain from engaging in the sanctioned practices and any other practices of equivalent effect in the future."</w:t>
        <w:br/>
        <w:t>13. By Agreement dated January 11, 2012, the Council agreed to request SUZUKI and HONDA certain information necessary for the purposes of the provisions of Article 64 of the LDC and the Communication of the National Competition Commission on the quantification of sanctions of February 6, 2009. Since the requested information was a necessary element for resolving, in accordance with the provisions of Article 37.1 a) of the LDC, the maximum period for resolution was agreed to be suspended. By letter dated January 16, 2012, HONDA requested an extension of the 3-day period granted to respond to the previous request, which was extended by 2 business days by Agreement of the same date. SUZUKI submitted the requested information by letter entered at the CNC on January 16, 2012; and HONDA by letter dated the 18th following.</w:t>
        <w:br/>
        <w:t>14. The Council completed its deliberation and ruling on this case in its meeting on January 19, 2011.</w:t>
        <w:br/>
        <w:t>15. The interested parties are:</w:t>
        <w:br/>
        <w:t>- MONTESA HONDA SA (HONDA)</w:t>
        <w:br/>
        <w:t>- SUZUKI MOTOR ESPAÑA SA (SUZUKI)</w:t>
      </w:r>
    </w:p>
    <w:p>
      <w:r>
        <w:t>(Z.</w:t>
        <w:br/>
        <w:t>NATIONAL COMPETITION COMMISSION</w:t>
        <w:br/>
        <w:t>PROVEN FACTS</w:t>
        <w:br/>
        <w:t>The conduct subject to this case has been assessed by this Council based on the facts proven by the Investigation Directorate during the instruction that has been carried out, facts that are detailed in this section, following a brief description of the parties accused in this case, the affected markets, and their competitive conditions.</w:t>
        <w:br/>
        <w:t>I. THE PARTIES</w:t>
        <w:br/>
        <w:t>1. SUZUKI MOTOR ESPAÑA, S.A. (SUZUKI) is the subsidiary of the Suzuki group in Spain. SUZUKI's activity is the manufacture of mopeds, motorcycles, and their spare parts and accessories, and the importation of other models of foreign manufacture.</w:t>
        <w:br/>
        <w:t>2. MONTESA HONDA, S.A. (HONDA) is the subsidiary of the Honda group in Spain. HONDA's activity is the manufacture of mopeds, motorcycles, and their spare parts and accessories, and the importation of other models of foreign manufacture.</w:t>
        <w:br/>
        <w:t>II. MARKET CONFIGURATION</w:t>
        <w:br/>
        <w:t>3. The motorcycle market in Spain is the second largest market in the European Union after Italy, with an 18% share in 2007. All major brands are present in it, being fundamentally an import market, although some models are manufactured in Spain, particularly low-displacement motorcycles and mopeds.</w:t>
        <w:br/>
        <w:t>4. Next, the size of the motorcycle market in the years 2008 and 2009 is studied, based on the units registered with the General Directorate of Traffic of the Ministry of the Interior (hereinafter, DGT).</w:t>
        <w:br/>
        <w:t>Table 1: motorcycles registered in Spain. Years 2008 and 2009. By units.</w:t>
      </w:r>
    </w:p>
    <w:p>
      <w:r>
        <w:rPr>
          <w:b/>
        </w:rPr>
        <w:t>[Pages 7–9]</w:t>
      </w:r>
    </w:p>
    <w:p>
      <w:r>
        <w:t>NATIONAL COMPETITION COMMISSION</w:t>
        <w:br/>
        <w:t>&lt;75 cc 76-125 cc 126-250 cc 251-500 cc 501-750 cc &gt;750 cc TOTAL</w:t>
        <w:br/>
        <w:t>BRAND</w:t>
        <w:br/>
        <w:t>2008 2009 2008 2009 2008 2009 2008 2009 2008 2009 2008 2009 2008 2009</w:t>
        <w:br/>
        <w:t>HONDA 12 8 18,684 13,087 4,226 1,526 3,684 2,481 11,252 3,703 3,344 1,407 41,202 22,212</w:t>
        <w:br/>
        <w:t>YAMAHA 6 7 12,269 8,901 5,167 3,341 5,474 2,274 9,579 3,909 3,037 1,217 35,532 19,649</w:t>
        <w:br/>
        <w:t>SUZUKI 2 4 5,297 5,818 4,607 1,826 3,091 839 12,538 4,870 3,247 935 28,782 14,292</w:t>
        <w:br/>
        <w:t>KYMCO 3 0 8,000 10,884 1,358 645 1,487 1,492 1 0 65 19 10,914 13,040</w:t>
        <w:br/>
        <w:t>PIAGGIO 8 1 10,355 8,143 2,398 796 1,208 1,176 32 31 38 20 14,039 10,167</w:t>
        <w:br/>
        <w:t>KAWASAKI 3 1 815 99 773 482 152 129 10,992 5,058 3,629 1,929 16,364 7,698</w:t>
        <w:br/>
        <w:t>BMW 4 2 14 3 18 17 173 131 748 612 9,654 6,043 10,611 6,808</w:t>
        <w:br/>
        <w:t>DAELIM 0 0 5,005 5,430 84 43 44 20 0 0 108 12 5,241 5,505</w:t>
        <w:br/>
        <w:t>HARLEY 1 2 0 0 1 2 3 1 11 10 5,009 3,156 5,025 3,171</w:t>
        <w:br/>
        <w:t>KTM 0 1 523 297 1,157 869 959 698 1,144 626 729 338 4,512 2,829</w:t>
        <w:br/>
        <w:t>APRILIA 0 0 2,416 1,470 568 186 208 237 813 541 329 137 4,334 2,571</w:t>
        <w:br/>
        <w:t>DUCATI 0 0 1 0 1 2 3 2 2,022 1,002 1,141 545 3,168 1,551</w:t>
        <w:br/>
        <w:t>Other brands 170 240 25,576 19,544 6,439 4,222 3,784 2,945 2,649 1,542 3,430 1,922 42,048 30,415</w:t>
        <w:br/>
        <w:t>TOTAL 209 266 88,955 73,676 26,797 13,957 20,270 12,425 51,781 21,904 33,760 17,680 221,772 139,908</w:t>
        <w:br/>
        <w:t>Source: DGT</w:t>
        <w:br/>
        <w:t>5. The resulting market shares in the national market for Honda, Suzuki, and their main competitors are detailed in the following table (Table 2):</w:t>
        <w:br/>
        <w:t>Table 2: Shares of the main motorcycle manufacturers in the Spanish market (%). Years 2008-09</w:t>
        <w:br/>
        <w:t>&lt;75 cc 76-125 cc 126-250 cc 251-500 cc 501-750 cc &gt;750 cc TOTAL</w:t>
        <w:br/>
        <w:t>BRAND</w:t>
        <w:br/>
        <w:t>2008 2009 2008 2009 2008 2009 2008 2009 2008 2009 2008 2009 2008 2009</w:t>
        <w:br/>
        <w:t>HONDA 5.7% 3.0% 21.0% 17.8% 15.8% 10.9% 18.2% 20% 21.7% 16.9% 9.9% 8.0% 18.6% 15.9%</w:t>
        <w:br/>
        <w:t>YAMAHA 2.9% 2.6% 13.8% 12.1% 19.3% 23.9% 27.0% 18.3% 18.5% 17.8% 9% 6.9% 16% 14%</w:t>
        <w:br/>
        <w:t>SUZUKI 1% 1.5% 6.0% 7.9% 17.2% 13.1% 15.2% 6.8% 24.2% 22.2% 9.6% 5.3% 13.0% 10.2%</w:t>
        <w:br/>
        <w:t>KYMCO 1.4% 0% 9% 14.8% 5.1% 4.6% 7.3% 12% 0% 0% 0.2% 0.1% 4.9% 9.3%</w:t>
        <w:br/>
        <w:t>PIAGGIO 3.8% 0.4% 11.6% 11.1% 8.9% 5.7% 6.0% 9.5% 0.1% 0.1% 0.1% 0.1% 6.3% 7.3%</w:t>
        <w:br/>
        <w:t>KAWASAKI 1.4% 0.4% 0.9% 0.1% 2.9% 3.5% 0.7% 1% 21.2% 23.1% 10.7% 10.9% 7.4% 5.5%</w:t>
        <w:br/>
        <w:t>BMW 1.9% 0.8% 0% 0% 0.1% 0.1% 0.9% 1.1% 1.4% 2.8% 28.6% 34.2% 4.8% 4.9%</w:t>
        <w:br/>
        <w:t>DAELIM 0% 0% 5.6% 7.4% 0.3% 0.3% 0.2% 0.2% 0% 0% 0.3% 0.1% 2.4% 3.9%</w:t>
        <w:br/>
        <w:t>HARLEY 0% 0.8% 0% 0% 0% 0% 0% 0% 0% 0.0% 14.8% 17.9% 2.3% 2.3%</w:t>
        <w:br/>
        <w:t>KTM 0% 0.4% 0.6% 0.4% 4.3% 6.2% 4.7% 5.6% 2.2% 2.9% 2.2% 1.9% 2% 2%</w:t>
        <w:br/>
        <w:t>APRILIA 0% 0% 2.7% 2.0% 2.1% 1.3% 1% 1.9% 1.6% 2.5% 1% 0.8% 2% 1.8%</w:t>
        <w:br/>
        <w:t>DUCATI 0% 0% 0% 0% 0% 0% 0% 0% 3.9% 4.6% 3.4% 3.1% 1.4% 1.1%</w:t>
        <w:br/>
        <w:t>Other brands 81.3% 90.2% 28.8% 26.5% 24.0% 30.3% 18.7% 23.7% 5.1% 7% 10.2% 10.9% 19% 21.7%</w:t>
        <w:br/>
        <w:t>TOTAL 100% 100% 100% 100% 100% 100% 100% 100% 100% 100% 100% 100% 100% 100%</w:t>
        <w:br/>
        <w:t>Source: DGT</w:t>
        <w:br/>
        <w:t>6. From the analysis of the above data, it is deduced that the sector is immersed in a serious crisis derived from the adverse economic situation, with a decline in the number of units registered in the studied years close to 37%, which is especially pronounced in higher displacement motorcycles.</w:t>
      </w:r>
    </w:p>
    <w:p>
      <w:r>
        <w:t>NATIONAL COMPETITION COMMISSION</w:t>
        <w:br/>
        <w:t>7. It can also be observed that HONDA is the brand with the largest market share in the motorcycle market, both in 2008 and 2009, while SUZUKI ranks as the third operator, behind Yamaha. Furthermore, in 2009, HONDA was the leader in the segments of 76 to 125 cc (the largest by registered units) and 251 to 500 cc.</w:t>
        <w:br/>
        <w:t>8. Regarding the sale of motorcycles, this is primarily carried out through dealers who can be exclusive or multi-brand. Dealers purchase units from the manufacturer (often with their financing), which they then sell, and the manufacturer usually sets recommended retail prices.</w:t>
        <w:br/>
        <w:t>9. The last tier consists of agents (or sub-distributors) who are not tied to any manufacturer and, in principle, act as independent intermediaries, purchasing motorcycles from distributors to sell them to end customers, in exchange for a commission.</w:t>
        <w:br/>
        <w:t>10. The final sale price of motorcycles includes both VAT and the registration tax. Therefore, any variation in tax pressure significantly affects the setting of sale prices to distributors as well as the recommended retail prices set by the manufacturer. These variations depend on the extent to which the manufacturer passes on the tax burdens.</w:t>
        <w:br/>
        <w:t>11. In the temporal scope affected by the exchanges of information analyzed in the reference file (end of 2008-beginning of 2009), there was a variation in the tax burden derived from the registration tax on motorcycles (special tax on certain means of transport).</w:t>
        <w:br/>
        <w:t>12. The tax rate of the registration tax is regulated in Article 70 of Law 38/1992, of December 28, on Special Taxes, and was made dependent on CO2 emissions starting January 1, 2008, following the approval of Law 34/2007, of November 15, on air quality and atmospheric protection.</w:t>
        <w:br/>
        <w:t>13. Initially, when establishing the tax rate based on CO2 emissions, there was no distinction between motorcycles and motor vehicles. Thus, in 2008 the tax rate was 0% when the official CO2 emissions of the motorcycle did not exceed 120 g/km, 4.75% when they exceeded 120 g/km but were less than 160 g/km, 9.75% when they were not less than 160 g/km and were less than 200 g/km, and 14.75% when they were equal to or greater than 200 g/km.</w:t>
        <w:br/>
        <w:t>14. With Law 4/2008, of December 23, which abolishes the tax on Wealth, the monthly refund system in the Value Added Tax is generalized, and other modifications to the tax regulations are introduced, modifying the previous system as of December 26, 2008, establishing specific limits on CO2 emissions for motorcycles.</w:t>
        <w:br/>
        <w:t>15. Thus, the tax rate for motorcycles becomes 0% when the official CO2 emissions do not exceed 80 g/km, 4.75% when they exceed 80 g/km but are less than 100 g/km, 9.75% when they are not less than 100 g/km and are less than 120 g/km, and 14.75% when the emissions are equal to or greater than 120 g/km or, regardless of their emissions, are motorcycles with a power equal to or greater than 100 HP.</w:t>
        <w:br/>
        <w:t>III.- ACCREDITED FACTS</w:t>
        <w:br/>
        <w:t>16. During the CNC inspection at HONDA's headquarters, an email was found on the computer of [...], General Commercial Director of HONDA.</w:t>
        <w:br/>
        <w:t>16.1. This is an email dated January 21, 2009, sent at 12:45 hours, by [...] ([...]@suzuki.es), Sales Controller of SUZUKI, to [...] ([...]@honda-eu.com). Its subject was "price list," and it attached a file titled "09-01-12 Price List 2009.pdf."</w:t>
        <w:br/>
        <w:t>The text of this email (folio 70) states:</w:t>
        <w:br/>
        <w:t>"As a follow-up to our phone conversation, I am attaching our new price list. For your information, the increase ranges from 3% to 6%, you can see that for the V-Strom we have increased it by 6% and for the Bandit it increased by 3% due to its 14.75% tax based on its emission level.</w:t>
        <w:br/>
        <w:t>If you need any further information, do not hesitate to contact me.</w:t>
        <w:br/>
        <w:t>Best regards</w:t>
        <w:br/>
        <w:t>16.2. The attached file contains a table titled "Motorcycle Price List," updated as of 01/12/2009, which came into effect on January 1, 2009, prepared by the Sales Division of SUZUKI (folio 71. Cited by automatic foliation).</w:t>
        <w:br/>
        <w:t>This table includes 38 models of SUZUKI motorcycles, with displacements ranging from 125 cc to 1,800 cc. The table includes different price columns for each model. In particular, it lists the dealer sale price excluding VAT (P.F.F. excluding VAT), the recommended retail price excluding taxes, the dealer margin (which is the recommended retail price excluding taxes minus the dealer sale price excluding VAT), and the final recommended retail price (which includes VAT and registration tax).</w:t>
      </w:r>
    </w:p>
    <w:p>
      <w:r>
        <w:rPr>
          <w:b/>
        </w:rPr>
        <w:t>[Pages 10–12]</w:t>
      </w:r>
    </w:p>
    <w:p>
      <w:r>
        <w:t>NATIONAL COMPETITION COMMISSION</w:t>
        <w:br/>
        <w:t xml:space="preserve">In this table, it can be seen that 12 models of SUZUKI are affected by a registration tax of 14.75%, 5 models by a rate of 9.75%, and 9 models by a rate of 4.75%. </w:t>
        <w:br/>
        <w:t xml:space="preserve">In the notes of the table, it is indicated that this rate supersedes the previous ones, that the prices and availability of models are subject to change without prior notice, and that the recommended retail price includes VAT, registration tax, assembly, and transportation, but that management fees, traffic fees, and IMCV are not included. </w:t>
        <w:br/>
        <w:t xml:space="preserve">17. During the CNC inspection at SUZUKI's headquarters, an email was found on the computer of [...], Leader of the Sales Group at SUZUKI. </w:t>
        <w:br/>
        <w:t xml:space="preserve">17.1. This email (folio 106), dated January 21, 2009, was sent at 15:27 hours, by [...] ([...]@suzuki.es), Sales Director of SUZUKI, to [...]. Its subject was "R V: Honda Rates," and it attached a file named "Tarifa ENERO 09 con impuestos.pdf." </w:t>
        <w:br/>
        <w:t xml:space="preserve">17.2. The text of this email states: </w:t>
        <w:br/>
        <w:t xml:space="preserve">"I am attaching the price list that Honda sent me. </w:t>
        <w:br/>
        <w:t xml:space="preserve">Thank you, </w:t>
        <w:br/>
        <w:t xml:space="preserve">17.3. This email also forwards a previous email, dated January 21, 2009, sent at 14:53 hours, by [...] ([...]@honda-eu.com), an employee of HONDA, to [...]. Its subject was "Honda Rates," and it attached the same file "Tarifa ENERO 09 con impuestos.pdf." </w:t>
        <w:br/>
        <w:t xml:space="preserve">17.4. The text of this forwarded email states: </w:t>
        <w:br/>
        <w:t xml:space="preserve">"Good Afternoon </w:t>
        <w:br/>
        <w:t xml:space="preserve">I am attaching our updated price list as of January 1, the increase compared to the previous year is 7%. </w:t>
        <w:br/>
        <w:t xml:space="preserve">I remain at your disposal for any questions. </w:t>
        <w:br/>
        <w:t xml:space="preserve">Regards" </w:t>
        <w:br/>
        <w:t xml:space="preserve">17.5. The attached file contains a table with the HONDA letterhead, which includes the Honda price list in effect since January 1, 2009, which are classified as recommended prices subject to change without prior notice (folios 107 and 108). </w:t>
        <w:br/>
        <w:t xml:space="preserve">17.6. This table includes 123 models of HONDA motorcycles, with engine displacements ranging from 125 cc to 1,800 cc. The table includes different price columns for each of the models. In particular, it includes the price of sale to the dealer without VAT (Precio Conces.), the price of sale to the dealer with VAT (Ttl a pagar MHSA), the recommended retail price without taxes, the dealer margin (which equals the recommended retail price without taxes minus the dealer price without VAT), and the final recommended retail price (which includes VAT and registration tax). </w:t>
        <w:br/>
        <w:t xml:space="preserve">17.7. In this table, it can be seen that 33 models of HONDA are affected by a registration tax of 14.75%, 25 models by a rate of 9.75%, and 11 models by a rate of 4.75%. </w:t>
        <w:br/>
        <w:t xml:space="preserve">18. During the inspection at SUZUKI's headquarters, a note was also found in the agenda of [...], Leader of the Sales Group at SUZUKI, dated February 22, 2008 (folio 172), which refers to an internal meeting of SUZUKI attended by [...], [...], Sales Controller of SUZUKI, [...], General Director of SUZUKI, and three other unidentified persons. </w:t>
        <w:br/>
        <w:t xml:space="preserve">In this note, it is indicated: </w:t>
        <w:br/>
        <w:t xml:space="preserve">"Prices with new tax: </w:t>
        <w:br/>
        <w:t xml:space="preserve">We explained the VAT, registration taxes, and what our proposal is to slightly raise prices. </w:t>
        <w:br/>
        <w:t xml:space="preserve">We are going to raise prices a bit and we will see when we start registering without taxes, [...] will go to a meeting of Anesdor to see what the other brands are going to do." </w:t>
        <w:br/>
        <w:t xml:space="preserve">19. In response to information requests from the Investigation Directorate, SUZUKI has provided information on the rates it actually applied in 2009 (folios 270 and following), from which the investigating body deduces that SUZUKI maintained its price list unchanged between January and July 2009 (with a small number of additions and deletions of models starting in April 2009). In July 2009, SUZUKI introduced small price modifications for eight models, and in September slightly modified the price of one more model. Finally, in November 2009, SUZUKI modified the price of almost all models. </w:t>
        <w:br/>
        <w:t xml:space="preserve">20. On the other hand, the Investigation Directorate requested information from SUZUKI regarding the promotions it applied in the sale of motorcycles in 2009. However, in the opinion of the DI, the information provided by SUZUKI is generic and does not allow determining the degree of effective application of these promotions. </w:t>
        <w:br/>
        <w:t xml:space="preserve">For this reason, the Investigation Directorate requested SUZUKI to provide the first twenty invoices issued each month of 2009 to dealers in Madrid (ten invoices) and Barcelona (ten invoices), which are the provinces with the highest number of motorcycle sales. Based on the information provided by SUZUKI (folios 771 and following), the DI understands that it can be deduced that in more than 75% of these invoices for models included in the list sent to HONDA, the price actually paid by the dealer corresponds with that listed. </w:t>
        <w:br/>
        <w:t xml:space="preserve">21. In response to information requests from the Investigation Directorate, HONDA has provided information on the rates it actually applied in 2009 (folios 405 and following), from which the investigating body deduces that the average price paid by the dealers frequently did not match the one established in the list exchanged with SUZUKI, among other reasons, due to the promotions applied by HONDA to its dealers. </w:t>
        <w:br/>
        <w:t xml:space="preserve">22. The DI also requested HONDA to provide the first twenty invoices issued each month of 2009 to dealers in Madrid (ten invoices) and Barcelona (ten invoices), which are the provinces with the highest number of motorcycle sales. Based on the information provided (folios 952 and following), it deduces that in nearly 50% of these invoices for models included in the list sent to SUZUKI, the price actually paid by the dealer corresponds with that listed. </w:t>
        <w:br/>
        <w:t xml:space="preserve">LEGAL GROUNDS </w:t>
        <w:br/>
        <w:t xml:space="preserve">First.- Object of the Resolution </w:t>
        <w:br/>
        <w:t xml:space="preserve">The DI has submitted to this Council a Proposal for Resolution in which it considers that the emails referenced in the Proven Facts (HP) 16 and 17 of this Resolution demonstrate the existence of conduct prohibited by Article 1 of the LDC, consisting of exchanges of sensitive commercial information about prices between two competitors in January 2009, for which MONTESA HONDA SA and SUZUKI MOTOR ESPAÑA SA are responsible. </w:t>
        <w:br/>
        <w:t xml:space="preserve">This Proposal is based on the legal consideration that exchanges of information between competitors may constitute an infringement of Article 1 of the LDC to the extent that they allow the participating companies to know the commercial strategy of the competitor and, therefore, weaken or eliminate the degree of uncertainty regarding the competitive functioning of the market. </w:t>
        <w:br/>
        <w:t>The Investigation Directorate considers that the exchange of information evidenced in this file, through the mutual sending of emails between employees of HONDA and SUZUKI in which each manufacturer detailed to the other for all its models, the wholesale prices (to the dealer), as well as the recommended retail prices, constitutes an agreement or concerted practice restrictive by its object and effects in accordance with Article 1 of the LDC, given its ability to limit the...</w:t>
      </w:r>
    </w:p>
    <w:p>
      <w:r>
        <w:rPr>
          <w:b/>
        </w:rPr>
        <w:t>[Pages 13–15]</w:t>
      </w:r>
    </w:p>
    <w:p>
      <w:r>
        <w:t>CNC</w:t>
        <w:br/>
        <w:t>NATIONAL COMPETITION COMMISSION</w:t>
        <w:br/>
        <w:t>competition between both competitors when marketing motorcycles in Spain.</w:t>
        <w:br/>
        <w:t>This restrictive nature of the information exchange is based, first of all, on the nature of the information exchanged, an exhaustive list of the individualized prices of the motorcycles of each operator, which includes both wholesale prices and recommended retail prices.</w:t>
        <w:br/>
        <w:t>The wholesale price data applied by the manufacturer to the dealers for each motorcycle is not public information, and it provides very important data regarding the margin available to the dealer for making discounts when marketing the motorcycles, which reduces the uncertainty about what the effective application of the recommended retail prices will be. The accredited exchange, in the opinion of the Investigation Directorate, allows HONDA and SUZUKI to know the prices and margins of their competitor's dealers, which had begun to apply that same month and which were expected to be applied throughout 2009, significantly reducing the uncertainty about what the effective commercial policy the dealers would deploy when selling the competitor's motorcycles.</w:t>
        <w:br/>
        <w:t>In this regard, the investigating body considers that, according to the data provided by HONDA and SUZUKI, the wholesale prices exchanged on January 21, 2009, matched in a significant percentage of cases the wholesale prices actually charged by each operator, especially in the case of SUZUKI.</w:t>
        <w:br/>
        <w:t>Secondly, the exchange has a restrictive capacity because it occurred on January 21, 2009, shortly after the entry into force (December 26, 2008) of a legal reform of the registration tax, which significantly increased the tax burden borne by the marketing of a significant portion of the motorcycles sold by HONDA (69 out of 123) and SUZUKI (26 out of 38), which were also the higher displacement and higher-priced models, forcing manufacturers to significantly alter their wholesale prices and recommended retail prices. In the opinion of the Investigation Directorate, this legal reform opened a period of uncertainty among manufacturers and marketers of motorcycles regarding the evolution of their wholesale and retail prices, depending on the degree of impact this increased tax burden would have on final prices. This opened a window of opportunity for HONDA and SUZUKI to modify their pricing policies in a differentiated manner, generating greater competition between them. However, as a result of the information exchange, this window of opportunity disappeared, as the uncertainty about what the current and future wholesale and recommended retail prices of the competitor would be in 2009 was reduced, significantly weakening the autonomous determination of the commercial policies by both operators, HONDA and SUZUKI.</w:t>
      </w:r>
    </w:p>
    <w:p>
      <w:r>
        <w:t>Finally, the Investigation Directorate considers that in this case the exemption provided for in Article 1.3 of the LDC cannot be applied, since the exchange of sensitive commercial information between SUZUKI and HONDA does not yield any significant efficiencies, beyond revealing to both operators their pricing policies at a particularly sensitive moment, with the consequent detriment to competition. In particular, it is considered that none of the efficiency assumptions contemplated in paragraphs 95 and following of the Communication - Guidelines of the European Commission on horizontal cooperation agreements of 2011 (Horizontal Guidelines, OJ 2011/C 11/01) are present, and in any case neither HONDA nor SUZUKI have alleged or proven the existence of such efficiencies, nor is it deemed to generate benefits for the consumer or that they are essential to achieve efficiency improvements.</w:t>
        <w:br/>
        <w:t>Second.- Procedural Allegations</w:t>
        <w:br/>
        <w:t>HONDA has alleged that the object of the investigation order signed by the Director of Investigation of the CNC does not cover the conduct attributed in this file, and thus considers that the obtaining of the only evidence on which it believes the accusation against it is based was carried out in violation of constitutional guarantees, a matter on which the National Court must rule within the framework of administrative contentious appeal No. 736/10.</w:t>
        <w:br/>
        <w:t>On this issue, the Council has already ruled in the Resolution of October 7, 2010 (Expte. R/0053/10 Montesa Honda), by which the appeal presented by HONDA against the Agreement of the Investigation Directorate of July 20, 2010 (HP 4) was dismissed, by which the referenced email in HP 3 was incorporated into this file. In that Resolution, and in relation to the allegation of violation of the right to the inviolability of the home, the Council dismissed that there had been any violation in the following terms:</w:t>
        <w:br/>
        <w:t>"the fact is that, once the arguments used in the appeal document have been examined, it is observed that MONTESA HONDA is based on a clear error of appreciation when justifying the existence of irreparable harm, such as considering that the aforementioned email incorporated into file S/0280/10 is not part of the object of the Investigation Order under which the inspection was carried out.</w:t>
        <w:br/>
        <w:t>Indeed, as stated in the Investigation Order of December 3, 2009, under which the inspection at the premises of MONTESA HONDA, S.A. was carried out on December 17, 2010, the object of it was the following:</w:t>
        <w:br/>
        <w:t>"to verify the existence, if applicable, of actions by Montesa Honda, S.A. and/or its distributors that could constitute restrictive practices prohibited by Article 1 of the LDC and/or by Article 81 of the Treaty of the European Community, as well as to verify whether such actions have been implemented."</w:t>
        <w:br/>
        <w:t>This delimitation of the object of the inspection is accepted without margin for error by the Order of the Administrative Contentious Court number 2 of Barcelona, of December 10, 2009, in which it was expressly stated that officials of the CNC were authorized to enter the premises of MONTESA HONDA (...) "in the precise terms of the Investigation Order of December 3, 2009."</w:t>
        <w:br/>
        <w:t>That is to say, the object of the inspection activity was the search for evidence of anticompetitive agreements adopted by HONDA, by its distributors or between one and the other in the market for the distribution and sale of motorcycles, which is why the conjunctions "and/or" are used in the investigation order. If the Investigation Directorate had wanted, as the appellant states, to limit the object of the investigation to vertical agreements between it and its distributors, it should have used only the copulative conjunction "and." Since this has not been the case, such an interpretation is unsustainable.</w:t>
        <w:br/>
        <w:t>From this perspective, the CNC Council does not share the reasons why the appellant considers that the documentation, which presumably affects a horizontal agreement between HONDA and one of its competitors, in this case, SUZUKI, is outside the object of the inspection, nor does it understand that any constitutional right violation can be appreciated that causes the appellant irreparable harm.</w:t>
        <w:br/>
        <w:t>In that appeal file, HONDA also alleged a violation of its right to defense, understanding that the documents obtained in an inspection can only give rise to a sanctioning file and that, when incorporated into another, without regard to its allegations, its right to defense is being violated. In this regard, the Council pointed out that:</w:t>
        <w:br/>
        <w:t>"This Council does not consider it necessary to elaborate, as it is evident, on the idea that if jurisprudence recognizes that incidental findings in inspections can be incorporated into a different sanctioning procedure under certain procedural guarantees, even more so can and should those documents that, as in this case, are part of the object of the inspection. It is also worth noting that, as long as they are part of the object of a domiciliary inspection, the documentation obtained by the CNC can give rise to as many sanctioning files as infringements are detected and without prejudice, of course, to the fact that the instructing body may subsequently agree to their accumulation if appropriate. In the present case, within the documentation collected in the inspection carried out on December 17, 2009, documents relating to the commercial relationships between MONTESA HONDA and its distributors have been obtained, which have given rise to file S/0154/10, and a document that, by referring to, may constitute a distinct infringement that, as such, must be analyzed in a different sanctioning procedure. This is precisely what has occurred through the decision...</w:t>
      </w:r>
    </w:p>
    <w:p>
      <w:r>
        <w:rPr>
          <w:b/>
        </w:rPr>
        <w:t>[Pages 16–18]</w:t>
      </w:r>
    </w:p>
    <w:p>
      <w:r>
        <w:t>CNC</w:t>
        <w:br/>
        <w:t>NATIONAL COMPETITION COMMISSION</w:t>
        <w:br/>
        <w:t>of the now contested Investigation Directorate decision, by which its incorporation into file S/0280/10 is decided.</w:t>
        <w:br/>
        <w:t>On the other hand, and as constant jurisprudence has declared, the fact that the instructing body, or the resolving body, does not heed the allegations made by one of the parties in a procedure cannot lead to defenselessness. The right to defense is exhausted, in this sense, with the Administration offering the party the opportunity to make them and with them being taken into consideration when deciding, but this right can never be violated by the Administration not opting for the criterion maintained by the party. A simple reading of the agreement now contested is sufficient to verify how the Investigation Directorate has analyzed HONDA's allegations, has responded to them, and has decided accordingly.</w:t>
        <w:br/>
        <w:t>Third.- Delimitation of the considered market</w:t>
        <w:br/>
        <w:t>The Investigation Directorate maintains in the Statement of Facts (PCH) regarding the delimitation of the product market:</w:t>
        <w:br/>
        <w:t>"(3) In line with the various precedents of national competition authorities and the European Commission, it is possible to affirm that the manufacture and marketing of two-wheeled vehicles is situated in a relevant product market differentiated from the manufacture and marketing of other motor vehicles (automobiles, etc.), since from a demand perspective, there is very limited substitutability due to price, agility, maneuverability, safety, the need for a specific driving license, etc.</w:t>
        <w:br/>
        <w:t>(4) Likewise, substitutability from the supply side is also very limited, given the different technical characteristics of motorcycles compared to other motor vehicles and the specialization of their manufacturers.</w:t>
        <w:br/>
        <w:t>(5) Two-wheeled vehicles are fundamentally differentiated by their engine displacement and power. The engine displacement and power entail a series of technical differences and also price differences, which is why demand varies for each category, as apart from the price issue, the purposes and use of these motorcycles must be taken into account. Likewise, depending on the engine displacement and power of the two-wheeled vehicle, the age to obtain driving licenses varies:</w:t>
        <w:br/>
        <w:t>• 16 years for two-wheeled vehicles with an engine displacement of less than 125 cubic centimeters (cc), with certain power limitations (license A1);</w:t>
        <w:br/>
        <w:t>• 18 years without displacement limitations but with certain power limitations (license A2); and</w:t>
        <w:br/>
        <w:t>• 21 years without displacement or power limitations (license A).</w:t>
        <w:br/>
        <w:t>(6) In light of the above, from a demand perspective, it could be justified to differentiate different product markets for the manufacture and marketing of two-wheeled vehicles according to their engine displacement and power, especially due to the types of licenses that allow their operation.</w:t>
        <w:br/>
        <w:t>(7) However, it is worth noting that most manufacturers, including HONDA and SUZUKI, are present across the entire range of two-wheeled vehicles, so there could be significant substitutability from the supply side.</w:t>
        <w:br/>
        <w:t>(8) In any case, to the extent that the segmentation or lack thereof of the market for the manufacture and marketing of two-wheeled vehicles does not significantly affect the conclusions of the analysis of the investigated conduct, among other reasons because the market shares of HONDA and SUZUKI are not significantly altered across the different segments, since the investigated exchanges of information affect the entire range of two-wheeled vehicles, and to the extent that the definition of the relevant market is not essential for the application of Article 1 of the LDC.</w:t>
        <w:br/>
        <w:t>(9) In light of the above, for the purposes of this file, it is not necessary to pronounce on the exact delimitation of the relevant product market for the manufacture and marketing of two-wheeled vehicles. All this without prejudice to analyzing the market shares of HONDA and SUZUKI in the overall market and in the different segments.</w:t>
        <w:br/>
        <w:t>And regarding the geographic market, the Investigation Directorate states:</w:t>
        <w:br/>
        <w:t>(10) According to the European Commission, the market for the manufacture and marketing of two-wheeled vehicles could be confined to the national scope, given the different characteristics of the various European countries in distribution, tastes, prices practiced, and tax regimes.</w:t>
        <w:br/>
        <w:t>(11) Additionally, for the purposes of this file, it is worth noting that the exchanges of information between HONDA and SUZUKI under investigation take place at the national level, so their effects would be confined to Spain.</w:t>
        <w:br/>
        <w:t>(12) In light of the above, for the purposes of this file, it will be considered that the relevant geographic scope to be taken into account is confined to Spain."</w:t>
        <w:br/>
        <w:t>In its allegations to the PCH, SUZUKI proposes to segment the market by type of motorcycles and HONDA argues (i) that there are no significant entry barriers, (ii) that the demand from dealers is fragmented, (iii) that final demand is volatile, and (iv) that retail prices are transparent.</w:t>
        <w:br/>
        <w:t>The Council agrees with the product and geographic delimitation made by the Investigation Directorate, which is consistent with the precedents. Likewise, the Council considers that, in any case, the fragmentation of the market by types or engine displacement of motorcycles does not alter the conclusions reached in the file regarding the relevant market position of the accused companies, as their market shares are relevant in most of the different segments, as shown in Table 2 included in HP 5. Furthermore, the Council shares with the instructing body that having a distribution network throughout Spanish territory constitutes an important competitive factor, and its development constitutes a significant economic entry barrier, as does the volatility of demand for brands that do not have a distribution network or brand image in the Spanish market. In any case, the exact configuration of the relevant market is not essential when, by the very nature of the strategic information exchanged and the temporal context that motivates the conduct, it is objectively suitable to reduce uncertainty about the competitor's behavior, facilitating collusion, as argued in the fifth legal basis.</w:t>
        <w:br/>
        <w:t>Fourth.- Allegations of the parties regarding the legal assessment of the Investigation Directorate</w:t>
        <w:br/>
        <w:t>The parties do not dispute the existence of the information exchange evidenced in HP 16 and 17, but rather the legal qualification of such facts made by the Investigation Directorate, which is what motivates the proposal for infringement and sanction that has been submitted to this Council.</w:t>
        <w:br/>
        <w:t>SUZUKI alleges, in general terms, that there has been no infringement of Article 1 of the LDC and, in the alternative, claims that imposing a sanction for a very serious infringement "would represent a severe blow to SUZUKI's economic situation; a blow that would surely jeopardize the continuity of the company in Spain," attaching data on the evolution of its sales in recent years that would evidence declines of 37% between 2008-2009 and 73% compared to 2007.</w:t>
        <w:br/>
        <w:t>Regarding the entry in the agenda of [...] [HP 18] related to the internal meeting dated 02/22/2008, SUZUKI argues that it is not an information exchange and, therefore, cannot be an indication that the exchange is not an isolated fact. The entry does not provide any evidence of guilt, especially when it is acknowledged that there is no evidence of illegal behaviors prior to the emails of 01/21/2009. SUZUKI places this entry in the temporal context of the tax change of the registration tax, since from 01/01/2008 there had been a transition from a situation</w:t>
      </w:r>
    </w:p>
    <w:p>
      <w:r>
        <w:rPr>
          <w:b/>
        </w:rPr>
        <w:t>[Pages 19–21]</w:t>
      </w:r>
    </w:p>
    <w:p>
      <w:r>
        <w:t>NATIONAL COMPETITION COMMISSION</w:t>
        <w:br/>
        <w:t xml:space="preserve">in which motorcycles were taxed at a single rate of 12% in the registration tax, to another system where they are taxed based on CO2 emissions. However, since there was no distinction between cars and motorcycles, it happened that for many motorcycles the tax rate was 0%. Until Law 34/2007, of November 15, which brought about this change, no brand knew the CO2 emissions of each motorcycle, as it was irrelevant for tax purposes and therefore was not recorded in the technical sheet of each vehicle. SUZUKI states that it only managed to obtain the CO2 emissions data of its motorcycles during the first three months of 2008, and it is in this context that the entry of 02/22/2008 must be understood. Consequently, it claims that when Law 4/2008, of December 23, was published, establishing specific emission limits for motorcycles, manufacturers already had CO2 measurements of their motorcycles, with the price reductions as a result of the tax change being public in the market (it attaches photocopies of two issues - February and May 2008 - of the magazine "Motociclismo" in which cheaper motorcycles are announced due to the new tax). From all this, SUZUKI concludes that there was no uncertainty arising from the new tax rates of the registration tax when the exchange of emails occurred, which in no way can eliminate (as the DI claims) a "window of opportunity" that did not exist. </w:t>
        <w:br/>
        <w:t>Regarding the information subject to the exchanged emails, SUZUKI considers that in January 2009 the retail prices were already published by industry magazines (Motociclismo magazine of January 27, 2009), and that as a result of the emails there was no variation in the prices of SUZUKI and HONDA motorcycles, from which it concludes that the exchange had no effects. In this regard, it points out that the evidence presented confirms that the "real" selling price, as a result of the existence of discounts, does not match the price list of SUZUKI exchanged, which therefore lacks any significance for competition law, as it is not commercially sensitive information whose exchange could produce a restrictive effect on competition. In this context, it states that it is intolerable for the DI to assert that its discount policy is very opaque and unpredictable for the dealer, as this is a false assertion, evidenced by the fact that no dealer has complained or claimed.</w:t>
        <w:br/>
        <w:t>Finally, SUZUKI claims to be unaware of how HONDA applied its rates and how it applied promotions, so the exchanged information did not allow it to know the "price actually paid by HONDA dealers." HONDA, regarding the entry in the agenda of a SUZUKI executive (HP 18), considers that it has no relation to the emails from January 2009, and that the person referred to as "[...] is not for obvious reasons, [...]" from HONDA, so this document should be disregarded in the file, making the reference by the DI to the inability to prove other contacts but not dismissing them inappropriate and insidious.</w:t>
        <w:br/>
        <w:t>Relying on the European Commission's Communication regarding horizontal restrictions of 2011, HONDA argues that neither the list sent first by SUZUKI nor the one subsequently sent by HONDA to it concerns future prices, but rather current data or prices (the usual practice in the sector is to modify rates annually), already set (having come into effect on January 1), already applied and already communicated. Thus, according to the aforementioned horizontal Guidelines, HONDA considers that the cited exchange of emails could in no case be classified as a restrictive conduct by object under Article 1.1 of the LDC.</w:t>
        <w:br/>
        <w:t>Regarding the suitability of the accredited information exchange to restrict competition, HONDA argues that it would be an agreement whose content would be limited to a single reference of the parties' rates, which in itself is completely "inappropriate" to lead to price fixing. Without having information about the discount, rebate, and promotion policies of the other party (i.e., the price applied in practice), the accredited exchange cannot lead to a price alignment. The margins for selling motorcycles by dealers are quite limited (from [...] to [...] €), so any small variation in discounts, rebates, and promotions is of enormous importance, being subject to continuous modification.</w:t>
        <w:br/>
        <w:t>Regarding the timing of the exchange, which the Investigation Directorate attributes great significance when assessing the potential restrictive nature, HONDA considers that there was no window of opportunity. The assumption that tax rates modify prices before taxes is incorrect and, therefore, the thesis that by establishing their wholesale and retail prices in the new context, companies are making decisions about the distribution of the new tax burden between manufacturers and dealers. In any case, what is relevant is that when the exchange occurs and that hypothetical distribution of the tax burden, the rates were already approved, published, and in force. The window would have already closed earlier, and after the exchange of emails, the companies limited themselves to competing as always. The temporal context is relevant but because at that time the companies felt lost and did not know how to apply and to which models the successive regulatory changes regarding CO2 emissions, being this the purpose and relevant context in which to assess the exchange.</w:t>
        <w:br/>
        <w:t>It also considers that when assessing the restrictive suitability of the email exchange, it is important to take into account that only a single contact has been accredited —anecdotal— and for a specific problem. In this sense, that there have been no further contacts, it is noted that the "Sir" that the HONDA employee gives when responding to SUZUKI's email does not fit well with the familiarity that any anti-competitive exchange must presuppose.</w:t>
        <w:br/>
        <w:t>In short, the exchange of information is not a restriction by object nor does it have the capacity to produce restrictive effects, as HONDA has proven that the exchanged rates remained unchanged after the exchange and throughout 2009, and that the prices actually paid by the dealers are always lower than those listed as "Total to be paid to MHSA," as a result of discounts that can be relatively high. Furthermore, since discounts do not apply to all motorcycle models and for all dealers, they make them unpredictable for competition. The Investigation Directorate acknowledges that discounts are opaque and unpredictable, from which it must be concluded that there is no margin for collusion.</w:t>
        <w:br/>
        <w:t>In conclusion, HONDA considers that the exchange of information did not alter the behavior of the companies, corresponding in any case to the CNC to prove the existence of real effects contrary to competition, which it has not been able to do because they are not probable and, if they existed, would be imperceptible. In this regard, relying on the Communication - Guidelines of the Commission regarding the application of the current Article 101.3 TFEU, HONDA states: (i) the market is fragmented into numerous operators of different sizes; (ii) there are no barriers to entry (the concentration file N-03055 IMMSI/PIAGGIO is cited, in which the SDC states the absence of barriers due to the fact that distribution is not exclusive) and demand is volatile (high price elasticity and general economic situation); (iii) there have been no control or retaliation measures or monitoring of the exchange; (iv) a single exchange; (v) the exchange does not create, maintain, or reinforce any market power; (vi) although the exchanged rates include dealer margins, they do not account for discounts, rebates, and promotions, so the result is as effective as "writing on the waters of the sea."</w:t>
        <w:br/>
        <w:t>Finally, and subsidiarily, HONDA alleges the applicability of Article 3 of the RDC (minor importance conduct), citing as a precedent the Resolution of the CNC Manufacturers of tinplate (Expte. S/0128/09), in which regarding two emails dated 11/14/2006 and 10/01/2007, the Council would state "...these contacts do not have sufficient substance due to their scope and frequency to consider that they constitute an autonomous conduct of information exchange that should be declared illicit by object."</w:t>
        <w:br/>
        <w:t>Fifth.- Legal qualification of the Council</w:t>
        <w:br/>
        <w:t>The Council considers that the previous allegations of the parties regarding the non-existence of an infringement of Article 1 of the LDC in the reciprocal exchange of information between competitors accredited in HP 16 and 17 must be rejected, for</w:t>
      </w:r>
    </w:p>
    <w:p>
      <w:r>
        <w:rPr>
          <w:b/>
        </w:rPr>
        <w:t>[Pages 22–24]</w:t>
      </w:r>
    </w:p>
    <w:p>
      <w:r>
        <w:t>NATIONAL COMPETITION COMMISSION</w:t>
        <w:br/>
        <w:t>constituting such conduct a concerted practice among competitors aimed at restricting competition in prices in the considered market.</w:t>
        <w:br/>
        <w:t>Article 1.1 of the LDC states: "All agreements, decisions or collective recommendations, or concerted or consciously parallel practices, that have as their object, produce or may produce the effect of preventing, restricting or distorting competition in all or part of the national market are prohibited, and in particular those that consist of:</w:t>
        <w:br/>
        <w:t>a) The direct or indirect fixing of prices or other commercial or service conditions. (...)".</w:t>
        <w:br/>
        <w:t>The exchange of information between SUZUKI and HONDA regarding motorcycle prices is established, but not all exchanges of information between competitors are prohibited by Article 1 of the LDC. The prohibition contained in this legal provision has as its application prerequisites or elements of the infringing type, (i) the existence of a concerted conduct (in its modalities of agreement, decision or collective recommendation, concerted practice or consciously parallel), and (ii) that such conduct has the capacity to restrict effective competition (that it has as its object, produces or may produce the effect of significantly restricting competition in the national market).</w:t>
        <w:br/>
        <w:t>The existence of a formal agreement between SUZUKI and HONDA signed with the purpose of restricting competition in prices in the considered market is not established in the file. According to the jurisprudence of the Court of Justice of the European Union (CJEU) and the doctrine of this Competition Authority (TDC / CNC), the concept of concerted practice refers to a form of coordination among companies that, without having resulted in the conclusion of a proper agreement, consciously replaces the risks of competition with practical cooperation among them (e.g., CJEU judgment of 06/04/2009, case C-8/08, RCNC of 02/07/2009, File 2759/07, Mobile Phones, and paragraph 60 of the 2011 Horizontal Guidelines).</w:t>
        <w:br/>
        <w:t>When interpreting the indeterminate legal concepts of coordination and cooperation, this jurisprudence and doctrine indicate that it should be done based on the general principle underlying the prohibition of collusive agreements that every operator must autonomously determine the policy it intends to follow in the market, which is strictly opposed to any direct or indirect contact between competitors that may influence the behavior in the market of a real or potential competitor, or reveal to that competitor the behavior that has been decided or is intended to be followed in the market, when these contacts have as their object or effect to lead to conditions of competition that would not correspond to the normal conditions of the market in question (In addition to the aforementioned: CJEU judgment of 07/08/1999, case C-1999/92 P, Hüls AG/Commission, paragraphs 158-160).</w:t>
        <w:br/>
        <w:t>That general principle underlying the concept of concerted practice does not prevent companies from adapting their behavior to the visible or anticipated conduct of their competitors, but it strictly opposes any direct or indirect contact between competitors, whose object or effect is to lead to conditions of competition that would not correspond to the normal conditions of the considered market (In addition to the aforementioned: CJEU judgment of 10/02/2003, case C-179/99 P, Eurofer ASBL/Commission, paragraph 43), which will particularly occur if the contact between competitors has as its object or effect to reveal to the competitor "the conduct that has been decided to adopt or is intended to be adopted in the market," because such conduct will reduce "the strategic uncertainty in the market thereby facilitating collusion" (Horizontal Guidelines, paragraph 61).</w:t>
        <w:br/>
        <w:t>Consequently, according to the cited jurisprudence and doctrine, an exchange among competitors of commercially strategic information amounts to a concertation; that is, it constitutes a concerted practice under Article 1.1 of the LDC because it is objectively capable of reducing the independence of the conduct of competitors in the market and diminishing their incentives to compete, being presumed (unless proven otherwise by the parties) that companies take into account the exchanged strategic data when they remain active in the considered market, even if the concertation is based solely on a single contact between the interested companies, since in this regard the number of meetings or contacts is not as important as whether the contact produced, given the nature of the exchanged data and the circumstances of the considered market, gives the concerted companies the possibility to take into account the exchanged information to determine their behavior in the market and consciously replace the risks of competition with practical cooperation among them. Likewise, an exchange of information among competitors will constitute a concerted practice restrictive of competition by object when by its very nature it is specifically capable, taking into account the legal and economic context in which it is framed, of leading to a restriction of competition, which is particularly likely when competing companies exchange individualized data on future prices or quantities (CJEU of 06/04/2009, case C-8/08, T-Mobile Netherlands, paragraphs 31, 41, 53, 61 and 62; Horizontal Guidelines, paragraphs 61 and 72 to 74; and RCNC of 29/06/2011, File S/0224/10 COLOMER).</w:t>
        <w:br/>
        <w:t>The Council agrees with the Investigation Directorate in considering that the exchange of emails between SUZUKI and HONDA on January 21, 2009 fits the concept of concerted practice restrictive of competition by object and, therefore, prohibited by Article 1 of the LDC. It is a direct contact between real competitors in the considered market, in which the accused companies, through the email of their executives, exchange individualized data regarding their respective wholesale and retail prices valid in principle for the entire year 2009 for different types of motorcycle models ranging from 125 cc to 1800 cc., at a time when there was a situation of uncertainty about the commercial behavior that motorcycle manufacturers would adopt in light of the entry into force of a substantial change in the tax rates of the registration tax that burdens the sale of this type of two-wheeled vehicles (HP 10 to 15), and in a context of severe demand reduction due to the economic crisis that was particularly affecting higher displacement motorcycles, precisely those that, being more polluting, would be subject to a higher tax rate (HP 4 to 6).</w:t>
        <w:br/>
        <w:t>In this regard, firstly, it is true that the file only establishes the reciprocal exchange of information between SUZUKI and HONDA that occurred on January 21, 2009, but the Council considers that given the nature of the exchanged information and the temporal context in which it occurs, that single exchange of information is objectively and specifically capable of reducing the strategic uncertainty (generated by the substantial modification of the tax rates of the registration tax) facilitating collusion in the considered market. Furthermore, although only a single exchange is established, the text of the first of the emails suggests the existence of prior contacts between the accused companies with the aim of exchanging their respective pricing policies for 2009. Indeed, the text of the email that SUZUKI sends to HONDA on January 21 at 12:45 hours begins as follows: "As a follow-up to our phone conversation, I am attaching a new price list..." (HP 16.1). Therefore, the only established exchange of information does not constitute an isolated fact, but is framed within prior direct contacts between competitors, and in this sense, the fact that HONDA's response to that email from SUZUKI occurs just over 2 hours later (at 14:53), attaching its own price list for 2009, and making itself available to the competitor to clarify "any doubts" (HP 17.4) deepens this.</w:t>
        <w:br/>
        <w:t>In any case, as already pointed out, to achieve the anticompetitive object (understood as the objective capacity of the conduct) of eliminating or reducing the situation of uncertainty about the behavior of the accused companies generated by the entry into force (on December 26, 2008 of Law 4/2008, of December 23) of the new tax rates, it was sufficient to exchange the new price list for 2009 in which the price of sale to the dealer or distributor and the recommended retail price, before and after the applicable taxes, and the margin of the dealer or distributor are individualized for each motorcycle model (HP 6.2 and 17.6).</w:t>
        <w:br/>
        <w:t>Secondly, because the accused companies exchanged individualized data not accessible to the public regarding current and future prices of a total of 161 motorcycle models (38 of the Suzuki brand and 123 of the Honda brand) ranging from 125 cc to 1800 cc. As emphasized by the Investigation Directorate, the price lists subject to exchange contain the recommended retail price of...</w:t>
      </w:r>
    </w:p>
    <w:p>
      <w:r>
        <w:rPr>
          <w:b/>
        </w:rPr>
        <w:t>[Pages 25–27]</w:t>
      </w:r>
    </w:p>
    <w:p>
      <w:r>
        <w:t>NATIONAL COMPETITION COMMISSION</w:t>
        <w:br/>
        <w:t xml:space="preserve">each of the motorcycle models —a fact that is public or easily obtainable by the competitor—, but also the wholesale price or dealer selling price of each of the motorcycle models included in the exchanged lists, which is not a public price at all, being these wholesale prices in connection with the recommended retail prices that reveal sensitive or strategic information of both operators. These wholesale prices are current prices, as they were in effect (since January 1) at the date of their exchange (January 21), but they are also future prices because they are prices anticipated for all of 2009. Thus, according to the information provided by the companies, SUZUKI maintained its price list unchanged between January and July 2009, the month in which it introduced modifications in eight models (HP 19), while HONDA has kept its list unchanged throughout the year 2009. </w:t>
        <w:br/>
        <w:t xml:space="preserve">The accused companies have claimed that the competitor's wholesale prices do not constitute information of strategic value, to the extent that the companies apply a significant policy of discounts, rebates, and promotions, as evidenced by the fact that the actual or final price paid by the dealer does not coincide with the wholesale price listed in the exchanged price lists, hence in the absence of knowledge of that discount policy, information about the wholesale pricing policy is unsuitable for leading to a price alignment. In this regard, the Council considers that the ignorance of the discount policy followed by the other company does not hinder the possibility of mutual adaptation that the accredited exchange of information offers. </w:t>
        <w:br/>
        <w:t xml:space="preserve">Indeed, the anticompetitive object of the conduct attributed is not so much the price alignment between the companies that carry out the information exchange as minimizing the uncertainty about what the commercial policy of the infringers (two of the three main operators) would be in the context of the new tax rates of the registration tax; that is, how the new tax rates would impact the prices to dealers and the recommended retail prices. In this regard, the text of the exchanged emails is illustrative; in the email sent to HONDA, SUZUKI informs that "the increase ranges from 3% to 6%", and explains that the increase of two specific models is "due to having 14.75% of the tax due to their level of emissions," adding "if you need any other information, do not hesitate to contact me." In the same tone, in the text of the email through which HONDA sends SUZUKI its price list for 2009, it clarifies that the increase compared to the previous year's price list is 7%, but that if more information is needed, it is at their "disposal for any questions." </w:t>
        <w:br/>
        <w:t xml:space="preserve">Indeed, and thirdly, the temporal context in which the information exchange occurs is very relevant when assessing its restrictive suitability for competition. The companies acknowledge that the exchange takes place in this context, but deny that the regulatory change has generated a "window of opportunity" </w:t>
        <w:br/>
        <w:t>NATIONAL COMPETITION COMMISSION</w:t>
        <w:br/>
        <w:t xml:space="preserve">competitive, and add that the only accredited contact is merely a technical collaboration aimed at verifying whether they had correctly applied the new tax rates of the registration tax, whose continuous changes had generated a situation of legal uncertainty. The Council rejects these allegations and fully agrees with the arguments presented by the Investigation Directorate: </w:t>
        <w:br/>
        <w:t xml:space="preserve">"(75) (...) this assertion [that the exchange responds to a technical collaboration] is inadmissible, as once the official CO2 emissions of a motorcycle are recorded in its technical sheet approved by the competent regulator, it is easily determinable what the applicable tax rate is, making it completely unnecessary for HONDA and SUZUKI to provide mutual technical assistance on this point. </w:t>
        <w:br/>
        <w:t xml:space="preserve">(76) Therefore, we are faced with a clear case in which the exchange of information has no alternative explanation beyond the willingness to carry out the information exchange. </w:t>
        <w:br/>
        <w:t xml:space="preserve">(77) The reasoning of HONDA that the registration tax does not affect HONDA's commercial policies cannot be accepted, as it is the dealers who decide whether to bear part of the new tax burden or not. </w:t>
        <w:br/>
        <w:t xml:space="preserve">(78) In particular, SUZUKI's and HONDA's own concern in exchanging rates in the context of the new tax rates, or their willingness to discuss the matter within Anesdor [HP 18], evidences that the registration tax does indeed directly affect them. </w:t>
        <w:br/>
        <w:t xml:space="preserve">(79) In any case, from an economic perspective, it is evident that the new registration tax rates do directly influence the commercial policy of HONDA and SUZUKI, as by establishing their wholesale prices and the recommended retail prices in the new context, they are making decisions about what portion of the new tax burden the manufacturers will bear, what portion the dealers will bear, and what portion will be passed on to consumers. </w:t>
        <w:br/>
        <w:t xml:space="preserve">(80) Thus, since the final selling price (including taxes) determines the demand for a product, a change in tax rates affects this demand, and depending on the elasticity of supply and demand, this new tax burden is distributed along the value chain, especially between the manufacturer, its distributors, and the end consumers. </w:t>
        <w:br/>
        <w:t xml:space="preserve">(81) Therefore, given the context in which this exchange of information occurs (implementation of the new tax rates), the weight of SUZUKI and HONDA in the affected markets, and the nature of the data exchanged (wholesale prices that remain substantially throughout 2009), this Investigation Directorate understands that it is indeed capable of restricting competition by its object and effect, so the conclusions of the Statement must be maintained. </w:t>
        <w:br/>
        <w:t xml:space="preserve">(82) In this sense, the exchange of information mutually reveals to SUZUKI and HONDA how the implementation of the new registration tax rates affects their wholesale prices, which facilitates both to minimize competition between themselves with this window of opportunity. </w:t>
        <w:br/>
        <w:t xml:space="preserve">(83) The discounts that both apply to dealers do not alter this conclusion, as they are not excessively high in their relative amount, do not apply to all motorcycles, are not always linked to the sale of a specific motorcycle (in the case of rebates), and serve as a mechanism for adaptation to the commercial policies of the competition. </w:t>
        <w:br/>
        <w:t xml:space="preserve">(84) In this regard, it is worth noting that the evidence obtained at SUZUKI's request has allowed to demonstrate the role that discounts can play as a mechanism for adaptation to competition, which is facilitated by the accredited exchange of sensitive commercial information in this file." </w:t>
        <w:br/>
        <w:t xml:space="preserve">In short, the Council considers it proven that the information exchange that took place between SUZUKI and HONDA on January 21, 2009, given the temporal context in which it occurs, is capable of appreciably reducing the competitive uncertainty regarding future prices that the significant regulatory change in the registration tax rates had introduced in a context of significant demand reduction. Therefore, a concerted practice that affects inter-brand competition between two of the three main operators in the considered market (HP 5), whose preservation is particularly relevant due to the fact that intra-brand competition is reduced by the existence of parallel networks of selective quantitative distribution agreements (whose importance as an entry barrier should not be underestimated), and in certain local markets, moreover, by the conduct of the accused companies in their relationships with dealers or agents, which in the case of HONDA have been subject to sanction in the Resolution of 12/28/2011, Expte. S/0154/09 Montesa Honda. </w:t>
        <w:br/>
        <w:t>Finally, taking into account the above considerations and the significant presence of SUZUKI and HONDA in the considered market (&gt; 26%), the Council considers that the rule of lesser importance of Art. 5 of the LDC in relation to Article 3 of the Competition Defense Regulation alleged by HONDA is not applicable. The citation made by HONDA to file S/0128/09 Tin Manufacturers is not appropriate, because in that file S/0128/09 there was a problem of proof of the concertation, not of its suitability to restrict competition, and in this file, the proof of concertation is not discussed but its suitability to restrict competition.</w:t>
      </w:r>
    </w:p>
    <w:p>
      <w:r>
        <w:rPr>
          <w:b/>
        </w:rPr>
        <w:t>[Pages 28–30]</w:t>
      </w:r>
    </w:p>
    <w:p>
      <w:r>
        <w:t>NATIONAL COMPETITION COMMISSION</w:t>
        <w:br/>
        <w:t>Sixth.- Determination of the sanction</w:t>
        <w:br/>
        <w:t>The Investigation Directorate proposes that the sanction provided for in Article 63.1. c) of the LDC be imposed on SUZUKI and HONDA for the commission of a very serious infringement (Article 62.4.a) of the LDC), taking into account the concurrent criteria of Article 64.1 of the same Law.</w:t>
        <w:br/>
        <w:t>Indeed, Article 63.1 of the LDC empowers the CNC to impose economic sanctions on those who negligently or deliberately infringe the prohibition of collusive conduct in Article 1.1 LDC, which, in the case of conduct such as that evidenced in this file (coordinated practice among competitors) and classified by Article 62.4.a) of the LDC as a very serious infringement, may reach up to 10 percent of the total turnover of the infringing company in the financial year immediately preceding the imposition of the fine.</w:t>
        <w:br/>
        <w:t>The Council considers that in the adoption of the coordinated practice attributed to SUZUKI and HONDA in this file, at least negligence is present, as it is reasonable to presume that the diligence required of an orderly businessman was not observed when deciding, in the aforementioned temporal context, to exchange strategic information regarding future prices with one of its main competitors in the considered market.</w:t>
        <w:br/>
        <w:t>According to the CNC Communication on the quantification of sanctions for substantive infringements of the LDC dated February 6, 2009 (Communication on fines), the basic amount of the sanction is obtained by applying a percentage to the "sales volume affected by the infringement," which may start from 10% and can be increased in increments of up to 10% cumulatively (i) if the infringement is very serious, and (ii) if the market related to the infringement corresponds to a productive input (paragraph 14). The basic amount of the sanction will increase with the duration of the infringement according to decreasing weighting coefficients (paragraph 15), which will be increased or reduced based on the presence of aggravating and mitigating factors (paragraph 16).</w:t>
        <w:br/>
        <w:t>At the time of determining the percentage applied to the sales volume affected by the infringement (defined in the Communication on fines as the weighted sum of the sales obtained by the infringer in the affected markets during the duration of the infringement), following the provisions of Article 64.1 of the LDC, the Council has taken into account that:</w:t>
        <w:br/>
        <w:t>(i) The market affected by the evidenced coordinated practice is the national motorcycle market whose engine displacement ranges from 125 cc to 1800 cc, as the motorcycle models listed in the price lists exchanged by SUZUKI and HONDA fall within this range.</w:t>
        <w:br/>
        <w:t>(ii) The infringement can be considered to have lasted from January to June 2009, as it is evidenced that SUZUKI modified the price of some of its models subject to the information exchange in July 2009 (also in September and November, HP 19), without any evidence or indications of prior and/or subsequent exchanges of information regarding such modifications.</w:t>
        <w:br/>
        <w:t>(iii) HONDA and SUZUKI are two of the three main competitors in the motorcycle sector in Spain, and together they account for more than 25% of sales in 2009.</w:t>
        <w:br/>
        <w:t>(iv) From the examination of the invoices of the accused companies corresponding to 2009 carried out by the Investigation Directorate, it is concluded that the dealer margin or wholesale price effectively paid to the factory significantly corresponds to the prices listed in the exchanged price lists (75% of the invoices sent by SUZUKI and 50% in the case of invoices for models included in HONDA's price list; HP 20 and 22).</w:t>
        <w:br/>
        <w:t>(v) The infringing conduct may have affected both the commercial conditions benefiting the dealers and the prices paid by end consumers.</w:t>
        <w:br/>
        <w:t>(vi) The promotional and discount policies of the accused companies were not subject to the evidenced information exchange.</w:t>
        <w:br/>
        <w:t>On these bases, taking into account the deterrent nature that fines must have in competition matters, the Council considers it appropriate to set the basic amount of the sanction at 10% of the sales volume obtained by the companies in the affected market during the duration of the infringement. Therefore, not finding the Council the presence of mitigating or aggravating factors, the Council imposes a fine of €1,881,570 on SUZUKI and a fine of €2,098,280 on HONDA.</w:t>
        <w:br/>
        <w:t>In light of the above, and having regard to the cited legal and regulatory provisions and those of general application, the COUNCIL OF THE NATIONAL COMPETITION COMMISSION</w:t>
        <w:br/>
        <w:t>HAS RESOLVED</w:t>
        <w:br/>
        <w:t>FIRST.- To declare the existence of an infringement of Article 1 of Law 15/2007, on the Defense of Competition, consisting of a coordinated practice of bilateral exchange of sensitive commercial information between competitors in January 2009.</w:t>
        <w:br/>
        <w:t>To declare MONTESA HONDA SA and SUZUKI MOTOR ESPAÑA SA responsible for this infringement.</w:t>
        <w:br/>
        <w:t>SECOND.- To impose a sanction of €2,098,280 on MONTESA HONDA SA and a sanction of €1,881,570 on SUZUKI MOTOR ESPAÑA SA.</w:t>
        <w:br/>
        <w:t>THIRD.- To urge the Investigation Directorate of the National Competition Commission to monitor compliance with this Resolution.</w:t>
        <w:br/>
        <w:t>This Resolution shall be communicated to the Investigation Directorate of the National Competition Commission and notified to the interested parties, informing them that no administrative appeal is available against it,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