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https://www.cnmc.es/expedientes/s028210</w:t>
      </w:r>
    </w:p>
    <w:p>
      <w:r>
        <w:t>Pages translated : 6</w:t>
      </w:r>
    </w:p>
    <w:p/>
    <w:p>
      <w:r>
        <w:rPr>
          <w:b/>
        </w:rPr>
        <w:t>[Pages 1–3]</w:t>
      </w:r>
    </w:p>
    <w:p>
      <w:r>
        <w:t xml:space="preserve">RESOLUTION  </w:t>
        <w:br/>
        <w:t xml:space="preserve">Expte. S/0282/10 MUTUA MADRILEÑA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November 8, 2010  </w:t>
        <w:br/>
        <w:t>The Council of the National Competition Commission, with the composition stated and with the Rapporteur being Councilor Ms. Inmaculada Gutiérrez Carrizo, has issued the following Resolution in case S/0282/10, initiated against Mutua Madrileña Automovilista, Sociedad de Seguros a Prima Fija and Detector de Seguimiento y Transmisión, SA, due to the complaint filed by European Datacomm España, SL for alleged anti-competitive practices.</w:t>
      </w:r>
    </w:p>
    <w:p>
      <w:r>
        <w:t xml:space="preserve">FACTUAL BACKGROUND  </w:t>
        <w:br/>
        <w:t xml:space="preserve">1. On July 1, 2010, the Directorate of Investigation received a complaint from European Datacomm España S.L., against Mutua Madrileña Automovilista, Sociedad de Seguros a Prima Fija (hereinafter, MM) and Detector de Seguimiento y Transmisión, SA (hereinafter, Detector), for alleged prohibited conduct under Articles 1, 2, and 3 of Law 15/2007, of July 3, on the Defense of Competition (LDC). According to the complaint, MM would have assumed the price of a dual technology device for vehicle location and recovery of stolen vehicles, its installation, maintenance, and reduction of the insurance premium for high-end vehicles of certain age, if the product from Detector is installed, which would prevent the complainant and other competitors of Detector from offering their systems to the end customer (folios 1 to 20).  </w:t>
        <w:br/>
        <w:t xml:space="preserve">2. The Directorate of Investigation provides the following description of the parties:  </w:t>
        <w:br/>
        <w:t xml:space="preserve">The complainant, European Datacomm España S.L., is a company that markets a device for locating stolen cars called Protect Sat, approved by various state and private bodies (folio 4). Its corporate purpose is “the marketing, distribution, and sale of communication systems, regardless of the nature of this connection, especially via satellite, wi-fi, fixed wireless networks, digital and analog; designs, development, production, import, export, and wholesale and retail sale of all types of materials and devices necessary for the encoding, decoding, emission, reception, and processing of data corresponding to the aforementioned communication systems; (...); designs, implementation, and provision of technical assistance services and management of service, both to the end users of these systems and to their technological providers” (folio 1).  </w:t>
        <w:br/>
        <w:t xml:space="preserve">The defendants are:  </w:t>
        <w:br/>
        <w:t xml:space="preserve">− Mutua Madrileña Automovilista, Sociedad de Seguros a Prima Fija (MM), whose corporate purpose is the development of insurance activity at the national level, through the sale of insurance, mainly auto, life, and multi-risk, thus operating in the fields of non-railway land vehicles, civil liability in automobile land vehicles, accidents, legal defense, assistance, and life (folio 255). MM is one of the multiple vehicle insurers in Spain, with a market share of 9% according to public information (folio 260).  </w:t>
        <w:br/>
        <w:t xml:space="preserve">− Grupo Detector de Seguimiento y Transmisión, SA (Detector), a Spanish company established in 2000, whose main activity consists of the marketing and installation of mobile telecommunications devices, in addition to its corresponding maintenance and management service, for the optimization of vehicle fleets (VAM) and the location and recovery of stolen vehicles. DETECTOR has signed a collaboration agreement with the Ministry of the Interior for the location, tracking, and recovery of stolen vehicles. According to the company's public information, this company has agreements with 70% of insurance companies.  </w:t>
        <w:br/>
        <w:t xml:space="preserve">3. From its actions, the Directorate of Investigation concludes the following facts:  </w:t>
        <w:br/>
        <w:t xml:space="preserve">Detector and MM signed the “Framework Contract for the Leasing of Detection Services for Stolen Vehicles,” a service provision contract aimed at the recovery of stolen vehicles that is based on two fundamental services: (i) installation of the detection device, (ii) operation for the recovery of the vehicle through the activation of operational tracking systems of the same (folio 251). The signing of this contract by MM aims to promote a greater recovery of stolen vehicles to reduce the cost of claims due to this cause (folio 253). For MM, reducing the claims cost of this type of high-end vehicle has a very significant economic impact, due to the high insured value, and generally for all vehicles (folio 254).  </w:t>
        <w:br/>
        <w:t xml:space="preserve">The service provision contract of MM with Detector includes two modalities for the location and recovery of stolen vehicles for MM's insured: A and B (folio 253). MM does not make any reduction or discount on the automobile insurance premium as a result of or in connection with the installation of Detector's device (folio 258).  </w:t>
        <w:br/>
        <w:t xml:space="preserve">- Modality A, for high-end vehicles: MM pays Detector directly for the services it provides, which consist of the detection and recovery of stolen vehicles, with the benefit for MM being that it does not have to pay the high compensations it would have to assume if the vehicle is not recovered. MM explains that, for this reason, it applies exclusively to this modality to vehicles, in which the cost of compensation is very high and only during the duration of the contract with the mutual member (when the vehicle has the highest value), which is when it is profitable for MM to pay for this service.  </w:t>
        <w:br/>
        <w:t xml:space="preserve">- Modality B, for vehicles that are not high-end: MM does not pay anything to Detector, but this company deals directly with the mutual member. In this relationship, MM is not involved regarding the price and conditions of the contract between the mutual member and Detector, although it indirectly benefits, as it will not have to compensate for the loss of the vehicle (folio 258). Considering the amount of insurance premiums it charges the mutual members, the price Detector charges for its services, and the fact that as the vehicle's value decreases it is less likely to be stolen, MM has decided not to contract the services of Detector, without prejudice to the fact that these may be contracted by its insured at reasonable prices (folio 254).  </w:t>
        <w:br/>
        <w:t xml:space="preserve">The theft insurance offered by the automobile policy marketed by MM is integrated, like the rest of the coverages, within the insurance premium, without a specific premium being charged to the insured for the theft coverage (without prejudice to the fact that actuarially the part of the global premium corresponding to the theft coverage should be calculated) (folios 252 and 253). According to MM, under no circumstances does it reduce or discount any amount in the automobile insurance premium for the provision of services by Detector, in either of the two modalities A or B (folio 253). MM provides an insurance policy invoice that demonstrates this fact (folios 170 to 172).  </w:t>
        <w:br/>
        <w:t xml:space="preserve">According to MM, at the time they signed the contract, Detector was the only company in the market that used a dual technology of VHF Radiofrequency to locate the vehicle and GSM to transmit the data. This technology allows for the location of vehicles in places where there is no satellite coverage (folio 252). On the other hand, vehicle detection companies cannot legally be held responsible for the rescue actions of stolen vehicles, as these competencies are exclusive to the State Security Forces and Corps (folio 252). To this end, Detector has signed an agreement with the State Security Forces and Corps (folio 257).  </w:t>
        <w:br/>
        <w:t xml:space="preserve">MM states that it does not establish long-term clauses in its service provision contracts, to have the possibility of switching to a better provider (folio 256). Likewise, according to MM, in no case is the relationship between MM and Detector exclusive, without prejudice to the fact that this commercial relationship is renewed as long as MM is satisfied with the services provided by Detector. However, if MM finds a provider that further reduces the claims rates regarding car theft, it could contract their services (folio 256).  </w:t>
        <w:br/>
        <w:t>Between July and November 2007, European Datacomm España, S.L. and MM exchanged a series of emails and even held a meeting in November 2007, during which European Datacomm España, S.L presented its products (folios 37, 44 to 48, 256 and 217 to 220). The last contact from European Datacomm España, S.L was an email dated May 18, 2010, to which no response was obtained (folios 37 and 52 to 54).</w:t>
      </w:r>
    </w:p>
    <w:p>
      <w:r>
        <w:rPr>
          <w:b/>
        </w:rPr>
        <w:t>[Pages 4–6]</w:t>
      </w:r>
    </w:p>
    <w:p>
      <w:r>
        <w:t>On May 26, 2010, the lawyer for European Datacomm España, SL, sent a burofax to MM declaring the intention to reach an amicable solution, summoning MM to respond within six days. Otherwise, they would file a complaint with the corresponding authority (folio 85). MM responded via burofax, dated July 2, 2010, to the letter dated May 26, 2010, claiming that under no circumstances does the company MM impose competition restrictions with respect to any company or product (folios 87). MM states that it has maintained contacts not only with the complainant but also with other companies in the sector, as described in folios 253 and 256 of the file.</w:t>
      </w:r>
    </w:p>
    <w:p>
      <w:r>
        <w:t xml:space="preserve">4. On October 14, 2010, the DI submitted to this CNC Council a Proposal for the filing of the actions followed in the reference file in accordance with the provisions of Article 49.3 of the LDC. In its legal assessment of the matter, the Directorate of Investigation concludes the following:  </w:t>
        <w:br/>
        <w:t xml:space="preserve">“(...) It is established that there is an agreement between the two defendants, MM and Detector. However, this Directorate of Investigation considers that it does not aim or effect to restrict competition, since it is a commercial contract that MM decided to enter into with Detector (and not with other competing companies) due to the advantages that Detector offers, basically, that it has dual radio frequency technology and that it is the only company that has signed an agreement with the State Security Forces and Corps.  </w:t>
        <w:br/>
        <w:t xml:space="preserve">Furthermore, no clauses contrary to competition have been detected in the contract; in particular, it does not contain any exclusivity provision of MM with Detector (or vice versa) that could exclude competitors. Consequently, there are no indications of infringement of Article 1.1.  </w:t>
        <w:br/>
        <w:t xml:space="preserve">(...)  </w:t>
        <w:br/>
        <w:t xml:space="preserve">For the application of Article 2 of the LDC, it is required to ascertain that there is a dominant position in the market defined as relevant and, furthermore, that this position has been abused.  </w:t>
        <w:br/>
        <w:t xml:space="preserve">In the case at hand, the complainant has not provided a definition of the relevant market nor evidence of a dominant position by the defendants. Regarding Detector, in the hypothesis that a market for products or services for detecting stolen vehicles could be defined as relevant, it has been established that there are several companies that perform that function (among others, those that have offered their services to MM), among which Detector seems to stand out, even acknowledging on its website that it has contracts with 70% of insurers.  </w:t>
        <w:br/>
        <w:t xml:space="preserve">However, it has not been proven that it has abused its position. As described above, in a framework of freedom of enterprise, MM chose to contract the services of Detector for objective reasons, according to its business needs. The fact that the complainant was not contracted does not mean that Detector has committed an abuse, excluding him or other competitors from providing services to MM.  </w:t>
        <w:br/>
        <w:t xml:space="preserve">(...)  </w:t>
        <w:br/>
        <w:t xml:space="preserve">4  </w:t>
        <w:br/>
        <w:t xml:space="preserve">The existence of an act of unfair competition as described in Law 3/1991, of January 3, on Unfair Competition has not been established; much less that this act of unfair competition distorts free competition in the market to the extent of affecting the public interest, so this article would not be applicable.  </w:t>
        <w:br/>
        <w:t xml:space="preserve">5. The Council of the National Competition Commission deliberated and ruled this Resolution in its meeting of October 27, 2010.  </w:t>
        <w:br/>
        <w:t xml:space="preserve">LEGAL GROUNDS  </w:t>
        <w:br/>
        <w:t xml:space="preserve">Single.- Article 49.1 of the LDC provides that the Directorate of Investigation shall initiate sanctioning proceedings when it observes reasonable indications of the existence of prohibited conduct in Articles 1, 2, and 3 of the Law. In number 3 of the same legal provision, it is added that the Council, at the proposal of the DI, shall agree not to initiate sanctioning proceedings and, consequently, to file the actions carried out when it considers that there are no indications of infringement.  </w:t>
        <w:br/>
        <w:t xml:space="preserve">In view of the complaint filed and the analysis of the facts carried out by the Directorate of Investigation, the Council does not perceive reasonable indications of infringement of Law 15/2007. The Council shares the arguments by which the Directorate of Investigation dismisses the existence of infringement of Articles 1, 2, and 3 of Law 15/2007. It is not perceived that the contract between MM and Detector has as its object or effect to restrict competition. The defendants cannot be attributed a dominant position from which they could infringe Article 2. Finally, no type of unfair acts capable of affecting the general interest is perceived in the behavior of the defendants.  </w:t>
        <w:br/>
        <w:t xml:space="preserve">Therefore, as there are no indications of restrictive practices prohibited by the Competition Defense Law, the Council considers the Proposal for Filing of the actions carried out in the framework of file S/0282/10 to be lawful.  </w:t>
        <w:br/>
        <w:t xml:space="preserve">In light of the above, and in view of the cited provisions and those of general application, the Council of the National Competition Commission  </w:t>
        <w:br/>
        <w:t xml:space="preserve">HAS RESOLVED  </w:t>
        <w:br/>
        <w:t xml:space="preserve">UNIQUE.- Not to initiate sanctioning proceedings and to file the reserved actions initiated against Mutua Madrileña Automovilista, Sociedad de Seguros a Prima Fija and Detector de Seguimiento y Transmisión, SA, due to the complaint filed by European Datacomm España, SL for alleged anti-competitive practices.  </w:t>
        <w:br/>
        <w:t xml:space="preserve">5  </w:t>
        <w:br/>
        <w:t xml:space="preserve">Communicate this Resolution to the Directorate of Investigation and notify the complainant and the defendants, informing them that this concludes the administrative route and that they may file a contentious-administrative appeal against it before the National Court within two months from its notification.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