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https://www.cnmc.es/expedientes/s028510</w:t>
      </w:r>
    </w:p>
    <w:p>
      <w:r>
        <w:t>Pages translated : 10</w:t>
      </w:r>
    </w:p>
    <w:p/>
    <w:p>
      <w:r>
        <w:rPr>
          <w:b/>
        </w:rPr>
        <w:t>[Pages 1–3]</w:t>
      </w:r>
    </w:p>
    <w:p>
      <w:r>
        <w:t xml:space="preserve">RESOLUTION  </w:t>
        <w:br/>
        <w:t xml:space="preserve">Expte. S/0285/10, Fira Internacional Barcelona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January 20, 2011  </w:t>
        <w:br/>
        <w:t xml:space="preserve">The Council of the National Competition Commission, with the composition expressed and being the Rapporteur Councilor Mr. Julio Costas Comesaña, has issued the following Resolution in the reserved information file S/0285/10, opened by the Directorate of Investigation by virtue of the complaint filed by SMASH 2005 SL against FIRA INTERNACIONAL DE BARCELONA, which is accused of carrying out alleged abusive conduct of a dominant position consisting of unjustifiably denying its participation in several editions of the "The Brandery" salon, which would be contrary to Article 2 of Law 15/2007, of July 3, on the Defense of Competition.  </w:t>
        <w:br/>
        <w:t xml:space="preserve">FACTUAL BACKGROUND  </w:t>
        <w:br/>
        <w:t xml:space="preserve">1. On June 8, 2010, a complaint was received by the Directorate General for the Defense of Competition of the Generalitat de Cataluña (DGDC) filed by XXX, on behalf of the company SMASH 2005, SL (SMASH) against the Fira Internacional de Barcelona (FIRA) and against the salon "The Brandery," for alleged conduct prohibited by the LDC. Specifically, SMASH accuses FIRA of abusing its dominant position by unjustifiably denying its participation in the January and June 2010 editions of the salon "The Brandery."  </w:t>
        <w:br/>
        <w:t xml:space="preserve">On July 8, 2010, by virtue of the allocation mechanism provided for in Law 1/2002, of February 21, on the Coordination of the Competences of the State and the Autonomous Communities in matters of Defense of Competition, the DGDC forwarded the complaint and all attached documentation to the Directorate of Investigation (DI) of the National Competition Commission (CNC) considering that the CNC was the competent authority.  </w:t>
        <w:br/>
        <w:t xml:space="preserve">2. After receiving the complaint, the DI, in order to ascertain the reality of the facts as much as possible to determine if there could be indications of infringement, in accordance with the provisions of the LDC, agreed to carry out a reserved information, requesting additional information from both the accused and the complainant.  </w:t>
        <w:br/>
        <w:t xml:space="preserve">3. The DI provides the following description of the parties:  </w:t>
        <w:br/>
        <w:t xml:space="preserve">SMASH is a Spanish company that designs, manufactures, and distributes clothing and accessories for young people, both men and women. It was founded in the nineties in Amsterdam as a club-wear brand producing fashion collections characterized by a funky and futuristic style. SMASH explains that the new millennium brought a significant change to the brand, bringing it closer to street-wear without leaving behind its unique and creative style. In 2004, SMASH settled in Barcelona. SMASH describes its garments as colorful and combinable, aimed at nonconformist young people and in continuous adaptation to changing trends (http://www.smash-wear.com/smash/quien-somos).  </w:t>
        <w:br/>
        <w:t xml:space="preserve">Fira Internacional de Barcelona (FIRA). According to Article 1 of its Statutes, FIRA is a public entity, of associative nature and consortial character for promotion, equally integrated by the Generalitat de Cataluña, the City Council of Barcelona, and the Chamber of Commerce, Industry, and Navigation of Barcelona. FIRA has its own legal personality independent of its members, independent assets, and full capacity to act for the fulfillment of its purposes.  </w:t>
        <w:br/>
        <w:t xml:space="preserve">According to Article 2 of the Statutes, the object and function of FIRA is, in the broadest sense, the promotion, encouragement, and development of commerce and industry. To achieve this object and function, FIRA may act directly or indirectly through companies or any other form permitted by law. The scope of action of the Fair extends to the territory of Catalonia and beyond, even internationally.  </w:t>
        <w:br/>
        <w:t xml:space="preserve">According to Article 26 of the Statutes of FIRA, since the fairs organized by FIRA, as such, do not have legal personality, they cannot hold any type of assets. Among the fairs organized by FIRA, the Salon The Brandery stands out, an international urban and contemporary fashion fair that has been organized in Barcelona since 2009, bringing together designers, artists, and experts in the field to exchange opinions on brands and trends. The Brandery is merely a commercial name of the event and, therefore, does not have legal personality distinct from that of FIRA.  </w:t>
        <w:br/>
        <w:t xml:space="preserve">4. After carrying out the reserved information, the DI establishes the following:  </w:t>
        <w:br/>
        <w:t xml:space="preserve">"III. INTERNAL REGULATIONS, ORGANIZATION, AND OPERATION OF FIRA  </w:t>
        <w:br/>
        <w:t xml:space="preserve">A. Internal regulations of FIRA  </w:t>
        <w:br/>
        <w:t xml:space="preserve">The internal regulations of FIRA fundamentally consist of Statutes, the General Participation Regulation, and the specific Participation Rules for each fair […].  </w:t>
        <w:br/>
        <w:t xml:space="preserve">Article 23 of the Statutes of FIRA establishes that “The participation of exhibitors in the trade fair activities organized by the Fair shall be generally regulated by the current General Participation Regulation approved by the Board of Directors and which shall contain, at a minimum, the aspects referred to in the applicable current regulations. This is understood without prejudice to the complementary rules that may also be approved specifically for any of these manifestations” (folios 208; 246 and 247).  </w:t>
        <w:br/>
        <w:t xml:space="preserve">Article 3.5 of the General Participation Regulation establishes: “Only Spanish and foreign companies whose products are included in the Fair's Nomenclature will be admitted. (…)”.  </w:t>
        <w:br/>
        <w:t xml:space="preserve">According to FIRA, the reference to the “Nomenclature of the Fair” included in Article 3.5 of the General Participation Regulation seeks to limit participation in events to those exhibitors who display products or services related to the specific theme of each event. Thus, for example, in the case of the Nautical Fair, automobiles cannot be exhibited, as the fair is limited to the exhibition of vessels. The Nomenclature of the Fair serves to establish an initial criterion, but this does not mean that all manufacturers or service providers offering a product that falls within the theme of a particular sector will end up participating in the fair. The various Selection Committees determine which companies meet the objectives pursued in each case (folio 232).  </w:t>
        <w:br/>
        <w:t xml:space="preserve">Article 3.5 of the General Participation Regulation adds:  </w:t>
        <w:br/>
        <w:t xml:space="preserve">“The Organization reserves the right to admit exhibitors and the products to be exhibited.  </w:t>
        <w:br/>
        <w:t xml:space="preserve">Participation will not be allowed for those companies that have overdue balances pending payment with Fira de Barcelona, regardless of which Fair, Edition, and/or Event the debt corresponds to.  </w:t>
        <w:br/>
        <w:t xml:space="preserve">The existence of overdue balances pending payment, non-compliance with the Participation Regulation, or the specific Participation Rules of a fair, as well as the commission of acts that transgress the prestige or good image of Fira de Barcelona, may represent the disqualification of the exhibitor to contract with Fira de Barcelona in the future, and to participate in any fair that it organizes or holds” (folios 121 and 122).  </w:t>
        <w:br/>
        <w:t xml:space="preserve">B. Organizational structure of FIRA  </w:t>
        <w:br/>
        <w:t xml:space="preserve">Articles 24 to 29 of the Statutes of FIRA establish that to develop the fairs organized by FIRA, an Organizing Committee may be constituted, whose President will be appointed and dismissed by the Board of Directors. The members of the Organizing Committee will be appointed by the Board of Directors, taking into account the joint proposal made by the President of the Organizing Committee and the General Director of FIRA (folios 208, 247 and 248).  </w:t>
        <w:br/>
        <w:t>According to FIRA, both the fairs organized internally by FIRA and those organized by external companies in its facilities are directed by the Director of the fair, who usually presides over the Organizing Committee of the salon.</w:t>
      </w:r>
    </w:p>
    <w:p>
      <w:r>
        <w:rPr>
          <w:b/>
        </w:rPr>
        <w:t>[Pages 4–6]</w:t>
      </w:r>
    </w:p>
    <w:p>
      <w:r>
        <w:t>The Organizing Committee is usually composed of a small group of people responsible for the organization of the event in a broad sense. In particular, the Organizing Committee is responsible for (i) establishing the objectives of the exhibition, (ii) determining the conditions of participation for exhibitors and visitors considering the aforementioned objectives, and (iii) coordinating the various teams involved in the organization of the event (sales, commercial, logistics, financial, etc.). The Organizing Committees have consultative and advisory functions aimed at ensuring the presence of sectors in each of the trade fair manifestations; specifically, they are responsible for proposing the necessary actions to achieve the objectives of the trade fair activity set by the governing bodies and the programming of activities necessary to promote and develop new trade fair activities (folios 208 and 247). Within a maximum period of two months from the closure of the exhibition, the Organizing Committee presents the report of the exhibition to the Board of Directors. After its approval and the settlement of the exhibition budget, the President and other members of the Organizing Committee cease their positions (folios 208 and 248). The General Director of FIRA appoints a Director of the exhibition and reports this to the Board of Directors for ratification. Among other functions, it is the responsibility of the Director of the exhibition to execute the agreements of the Organizing Committee, comply with internal administrative procedures and the quality system, and carry out dealings with exhibitors in accordance with the instructions established by the Board of Directors of FIRA (folios 208, 248, and 249). According to FIRA, the appointment of the members of the Organizing Committee of The Brandery has not changed since the first edition (folio 382) and is composed of FIRA staff (folio 370 confidential). Furthermore, following the structure of the organizing committees of the main fashion fairs at the international level, it was decided to incorporate an external person from FIRA into the Organizing Committee of the exhibition who, based on their experience in the sector, would provide added value that would allow The Brandery to establish itself among the main urban fashion fairs (382). FIRA adds that, in addition to the Organizing Committee, in events of high specialization or complexity such as fairs in the fashion, art, and antiques sectors, almost all fairs (both those organized by FIRA and those of third parties) have a Selection Committee. The function of this committee is to ensure that exhibitors meet the quality and homogeneity requirements that the Organizing Committee aims to achieve (folio 383). Selection Committees usually consist of individuals with experience or specific knowledge of the sector in which the event is framed. However, in many cases, to save personnel costs, the members of the Organizing Committee often coincide with those of the Selection Committee. This is the case with the Selection Committee of The Brandery (folios 383 and 384).</w:t>
      </w:r>
    </w:p>
    <w:p>
      <w:r>
        <w:t>C. Admission Criteria for The Brandery Exhibition</w:t>
        <w:br/>
        <w:t>According to FIRA, the Selection Committee of The Brandery bases its decisions on criteria that it adapts based on the experience accumulated during the organization of each edition in order to improve operations and ensure the success of future sessions (folio 194). FIRA argues that, since the main objective of the Selection Committee of The Brandery has always been to achieve the greatest possible success of the exhibition to carve out a place among other events in the sector and occupy a prominent position within the circuit of international urban fashion fairs, the Selection Committee takes into account various issues such as, for example, the type of product or service offered by the company (clothing, shoes, music, food, etc.), its impact on the market, the novelty of the elements it markets, current trends in the fashion world, and its international dissemination. Thus, for example, after its first edition, The Brandery decided to increase the presence of foreign companies that would provide greater visibility and international impact to the exhibition and, with it, increase its added value. Specifically, since its inception, it has managed to increase the participation of foreign companies by approximately 10%, which has allowed it to reach a much broader audience (folio 195). According to FIRA, regarding participation criteria, the Selection Committee conducts a global evaluation of candidates considering the following (folio 385): (i) their participation in the leading fairs in the urban fashion sector such as Pitti (Florence) or Bread &amp; Butter (Berlin), (ii) the qualitative and quantitative investment in the most important advertising media in the sector, as well as their presence in them, and (iii) the recommendations made by visitors during the event for future editions and those made throughout the year during the periodic visits carried out by team members. Additionally, the applicant's website, press appearances, events in which they participate and photographs of them, the stores where they exhibit their products, and their catalogs are analyzed. These additional elements allow for the rejection of an application that met the three aforementioned criteria or even the admission of those applications that, while not meeting them, refer to products that have added value that enhances the image and brand values of the exhibition. Notwithstanding these criteria, in the initial edition of July 2009, a large number of exhibitors were admitted since the purpose of that first call was to gain visibility. To achieve this, it was essential to obtain a critical mass of exhibitors that could attract the attention of visitors (folio 385).</w:t>
      </w:r>
    </w:p>
    <w:p>
      <w:r>
        <w:t>IV. ACCREDITED FACTS</w:t>
      </w:r>
    </w:p>
    <w:p>
      <w:r>
        <w:t xml:space="preserve">1. SMASH claims that it participated without any objection from FIRA in the first edition of the "The Brandery" Salon, which was held from July 7 to 9, 2009 (folios 4, 19 to 23, and 174). </w:t>
        <w:br/>
        <w:t xml:space="preserve">2. During that first edition, SMASH asserts that it was involved in an action prompted by the firm DESIGUAL, which led to the police seizing various garments for an alleged infringement (consisting, according to FIRA, of counterfeiting garments) of some designs of said firm. Such actions resulted in the initiation of Preliminary Proceedings 3602/2009, which are being processed before the Investigating Court 21 of Barcelona, and in which DESIGUAL, at the time of filing this complaint, had not disclosed which of its alleged designs had been infringed by SMASH (folios 4 and 25). </w:t>
        <w:br/>
        <w:t xml:space="preserve">3. On September 29, 2009, SMASH faxed FIRA a new application to participate in the next edition of the "The Brandery" exhibition, which would take place at the end of January 2010 (folios 4 and 27 and 28). </w:t>
        <w:br/>
        <w:t xml:space="preserve">4. After a period without receiving a response, on November 24, 2009, SMASH claims that it received a phone call from FIRA informing it that it would not admit its presence in the next edition of the "The Brandery" Salon, citing the presence of the police at SMASH's stand in the previous edition (folios 4 and 5). </w:t>
        <w:br/>
        <w:t xml:space="preserve">5. On December 4, 2009, SMASH sent FIRA, via burofax, a letter in response to the phone call of November 24, 2009, explaining that DESIGUAL was attempting to discredit SMASH by all means, that DESIGUAL had not managed to prove that SMASH was copying its designs, and requested that the "The Brandery" Salon, as an independent entity, remain outside of that dispute (folios 5 and 30 to 32). </w:t>
        <w:br/>
        <w:t xml:space="preserve">6. According to the complainant, FIRA changed the justification regarding the phone conversation, stating that: "the profile of the company and the products of SMASH were not the desired ones, in particular, the price range of those products was not what was of interest to promote in this new edition of 'The Brandery'" (folio 5). </w:t>
        <w:br/>
        <w:t xml:space="preserve">7. On December 28, 2009, SMASH, through its representative, sent FIRA a request to reconsider its decision and accept SMASH's participation in the next edition of the "The Brandery" exhibition. However, FIRA did not respond. On January 19, 2010, SMASH's representative sent FIRA a reminder, which also went unanswered (folios 5 and 34 to 43). </w:t>
        <w:br/>
        <w:t>8. SMASH explains that to demonstrate that FIRA's latest arguments were unfounded, it asked FAME, a British company whose style and characteristics are very similar to SMASH, to apply for participation in said exhibition. Within four days, FAME's request, in which it even used photographs of SMASH products as "samples," was accepted (folios 5 and 6 and 48 to 56).</w:t>
      </w:r>
    </w:p>
    <w:p>
      <w:r>
        <w:rPr>
          <w:b/>
        </w:rPr>
        <w:t>[Pages 7–9]</w:t>
      </w:r>
    </w:p>
    <w:p>
      <w:r>
        <w:t>9. For its part, FIRA states that, on December 13, 2009, it received a participation request from FAME. On December 18, 2009, the commercial participation manager of The Brandery sent an email to the representative of FAME specifying that their participation in The Brandery was subject to the approval of the Selection Committee, requesting additional information. On the same date, December 18, 2009, FAME partially responded to the request made by the commercial participation manager of The Brandery. FAME did not respond to subsequent emails in which it was requested to provide the NIF in order to proceed with the processing. It was not until January 11, 2010, when, after a request from the organization of The Brandery, the representative of FAME answered the call from the agent of The Brandery in the United Kingdom and explained that FAME did not want to participate in the event (folios 229 to 231).</w:t>
      </w:r>
    </w:p>
    <w:p>
      <w:r>
        <w:t>10. In March 2010, SMASH sent FIRA a new request to participate in the June 2010 edition of the "The Brandery" salon (folios 6 and 58-59). On March 18, 2010, the representative of SMASH sent an email to FIRA with arguments as to why SMASH should be admitted, including photos of the collection it wished to present at the upcoming edition of the "The Brandery" salon. FIRA requested additional information, which was sent by email on March 19, 2010 (folios 6 and 61 to 71 and 73).</w:t>
      </w:r>
    </w:p>
    <w:p>
      <w:r>
        <w:t>11. Not receiving a response, the representative of SMASH sent a faxed letter dated April 13, 2010, requesting a reply to the request dated March 19, 2010 (folios 6, 76, and 77).</w:t>
      </w:r>
    </w:p>
    <w:p>
      <w:r>
        <w:t>12. In light of FIRA's silence, the representative of SMASH sent a letter dated May 12, 2010, addressed to the General Director of FIRA and another to the Director of the "The Brandery" salon, requesting confirmation of the participation request for the next edition of the "The Brandery" salon, and after outlining the events that occurred from December 28, 2009, to that date, stated that if no response was received within three days of receipt of that letter, such silence would be understood as "a new and arbitrary refusal that is evidently contrary to law, due to its abusive nature, given the dominant position that Fira de Barcelona holds in this sector" (folios 7 and 79 to 87).</w:t>
      </w:r>
    </w:p>
    <w:p>
      <w:r>
        <w:t>13. On June 15, 2010, FIRA responded to both letters with the following arguments: "having participated in the first edition of The Brandery does not grant them the right to participate in subsequent editions. The evaluation of participation is unique and individual for each edition, and the Salon has evolved and defined the profile of exhibitors that, as brands, will shape the identity of the Salon since its first edition. Regarding the participation request for this edition in June, we confirm what has already been previously stated, namely, that we are obliged to reject your participation request, as your client [SMASH] does not meet, in the opinion of the Selection Committee of the Salon, which is the body that analyzes participation requests, the suitability and qualifications deemed necessary. The decision made, (...) is a collegial decision that adheres to the criteria established for the pursued objectives and for the projection of the Salon. It is, ultimately, an evaluation of suitability that SMASH has not surpassed, conducted independently by a Selection Committee that is sovereign in its decisions. This decision has nothing to do with any disputes your client may have with brands in the sector, which the organization is obviously unrelated to and must remain, and does remain, on the sidelines. These are matters that do not concern us" (folios 174 to 176).</w:t>
      </w:r>
    </w:p>
    <w:p>
      <w:r>
        <w:t>14. According to FIRA, SMASH did not meet the suitability criteria that, from a marketing and product perspective, were intended to be enhanced (folio 195). FIRA understands that after SMASH's participation in the initial edition of the salon and once the general criteria were analyzed, it did not meet the minimum requirements nor did it provide added value to the salon: SMASH did not appear in any specialized magazines nor was there evidence of its participation in other trade fairs in the sector. Furthermore, the image presented by its stand during the first edition did not comply with the brand values and design standards that were intended to be promoted (folios 385 and 386).</w:t>
      </w:r>
    </w:p>
    <w:p>
      <w:r>
        <w:t>15. According to FIRA, The Brandery salon competes with several trade fairs in the sector, both in Europe (Bread &amp; Butter, Pitti Immagina, or Who’s Next) and in Spain (the International Fashion Salon of Madrid), many of which have a long-standing history, as is the case with Bread &amp; Butter, which has been organizing urban fashion fairs for over 10 years (folio 193).</w:t>
      </w:r>
    </w:p>
    <w:p>
      <w:r>
        <w:t>16. SMASH claims to have participated from 2007 to 2010 in various fairs, such as Bread &amp; Butter in Barcelona; the International Fashion Salon in Madrid; Who’s Next in Paris; Pure and LondonEdge in London; CIFF in Copenhagen; Mi Milano prêt à porter in Milan; JAM in Cologne; The Brandery in Barcelona; ModeFabriek in Amsterdam (folios 295 and 296 and 324 to 344). However, SMASH has only accredited participation in certain fashion fairs in 2010.</w:t>
      </w:r>
    </w:p>
    <w:p>
      <w:r>
        <w:t>17. SMASH states that the only fashion fair in which it has not participated, besides the last editions of The Brandery salon, was the 2010 edition of the Bread &amp; Butter salon in Berlin, as the exclusive distributor of SMASH in Germany considered that trade fairs are not sufficiently useful instruments for promoting the type of garments/products that SMASH markets (folios 296 and 297).</w:t>
      </w:r>
    </w:p>
    <w:p>
      <w:r>
        <w:t>5. On November 19, 2010, the DI submitted a Proposal to the Council of the CNC in which, in light of the information in the file and the applicable regulations, it concludes that there are no indications of infringement of Article 2 of Law 15/2007, of July 3, on the Defense of Competition (LDC). Therefore, in accordance with the provisions of Article 49.3 of the LDC, the DI proposes to the Council of the CNC the filing of the proceedings.</w:t>
      </w:r>
    </w:p>
    <w:p>
      <w:r>
        <w:t>6. The Council of the National Commission of Competition deliberated and issued this Resolution at its meeting on January 12, 2011.</w:t>
      </w:r>
    </w:p>
    <w:p>
      <w:r>
        <w:t>LEGAL GROUNDS</w:t>
      </w:r>
    </w:p>
    <w:p>
      <w:r>
        <w:t>First.- Purpose of the Resolution</w:t>
        <w:br/>
        <w:t>Article 49.1 of the LDC provides that the DI shall initiate sanctioning proceedings when it observes reasonable indications of the existence of prohibited conduct under Articles 1, 2, and 3 of the Law. In paragraph 3 of the same legal provision, it is added that the Council, at the proposal of the DI, shall agree not to initiate sanctioning proceedings and, consequently, to file the proceedings when it considers that there are no indications of infringement. The DI, citing the aforementioned Article 49.3 of the LDC, proposes to this Council the filing of the proceedings. Therefore, the purpose of this Resolution is to determine whether the information available in this file of reserved proceedings, which is considered sufficient, indicates the existence of prohibited conduct under the LDC that would warrant the initiation of a sanctioning proceeding or, conversely, the filing of the reserved proceedings conducted.</w:t>
      </w:r>
    </w:p>
    <w:p>
      <w:r>
        <w:t>Second.- Infringement of the prohibition of abuse of dominant position</w:t>
        <w:br/>
        <w:t>It is established and not disputed between the parties that FIRA has rejected the requests submitted by SMASH to participate in the January and June 2010 editions of The Brandery salon. In a letter dated December 17, 2010, received by the CNC on the 23rd, SMASH indicates that last October it again requested its participation in the next edition of the aforementioned salon, to be held from January 26 to 28, 2011, without having received any response from FIRA by the date of that letter. The DI has analyzed whether this unilateral conduct of FIRA presents indications of infringement of the prohibition of abuse of dominant position. Number 1 of Article 2 of the LDC states: "The abusive exploitation by one or more companies of their dominant position in all or part of the national market is prohibited." Therefore, in order to appreciate an infringement of this legal provision, it is necessary for the reported operator, in this case FIRA, to have a dominant position in some relevant market, and, if applicable, whether the reported conduct constitutes an abusive exploitation of that market power. The Council shares the analysis of the dominant position conducted by the Directorate of Investigation, in the sense that the salon The Brandery of FIRA does not have a dominant position. The first edition of the salon was held in July 2009 and is trying to position itself among other national and international urban fashion fairs, such as the Salon.</w:t>
      </w:r>
    </w:p>
    <w:p>
      <w:r>
        <w:rPr>
          <w:b/>
        </w:rPr>
        <w:t>[Pages 10–10]</w:t>
      </w:r>
    </w:p>
    <w:p>
      <w:r>
        <w:t>International Fashion Fair of Madrid and Bread &amp; Butter, Barcelona, as well as the fashion fairs in Paris, Copenhagen, London, Milan, Cologne, and Amsterdam. Under these conditions, the aforementioned fair of FIRA cannot be considered an essential facility or service for the normal development of the complainant's business activity. As the Directorate of Investigation also argues, The Brandery cannot be considered to have a dominant position derived from its prestige, since according to the doctrine of the now-defunct Competition Defense Tribunal (TDC. Expte. 335/93 Trip and Chevignon April 15, 1994), prestige does not normally confer a dominant position: “the mere existence of a distinctive brand within a genre of similar products does not constitute an autonomous market.”</w:t>
      </w:r>
    </w:p>
    <w:p>
      <w:r>
        <w:t>In light of the above, and considering the cited legal and regulatory provisions and those of general application, the Council of the National Competition Commission</w:t>
      </w:r>
    </w:p>
    <w:p>
      <w:r>
        <w:t>HAS RESOLVED</w:t>
      </w:r>
    </w:p>
    <w:p>
      <w:r>
        <w:t>SOLE.- Not to initiate sanctioning proceedings and to archive the reserved proceedings followed as a result of the complaint filed by SMASH 2005 SL against FIRA INTERNACIONAL DE BARCELONA, for not finding indications of infringement of Article 2 of the Competition Defense Law.</w:t>
      </w:r>
    </w:p>
    <w:p>
      <w:r>
        <w:t>This Resolution shall be communicated to the Directorate of Investigation and notified to the complainant and the accused, informing them that it concludes the administrative process and that a contentious-administrative appeal may be filed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