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https://www.cnmc.es/expedientes/s029010</w:t>
      </w:r>
    </w:p>
    <w:p>
      <w:r>
        <w:t>Pages translated : 5</w:t>
      </w:r>
    </w:p>
    <w:p/>
    <w:p>
      <w:r>
        <w:rPr>
          <w:b/>
        </w:rPr>
        <w:t>[Pages 1–3]</w:t>
      </w:r>
    </w:p>
    <w:p>
      <w:r>
        <w:t xml:space="preserve">Id. Cendoj: 28079230062013100170  </w:t>
        <w:br/>
        <w:t xml:space="preserve">Body: National Court. Administrative Litigation Chamber  </w:t>
        <w:br/>
        <w:t xml:space="preserve">Venue: Madrid  </w:t>
        <w:br/>
        <w:t xml:space="preserve">Section: 6  </w:t>
        <w:br/>
        <w:t xml:space="preserve">Resolution No.:  </w:t>
        <w:br/>
        <w:t xml:space="preserve">Date of Resolution: 10/04/2013  </w:t>
        <w:br/>
        <w:t xml:space="preserve">Appeal No.: 106/2011  </w:t>
        <w:br/>
        <w:t xml:space="preserve">Jurisdiction: Administrative Litigation  </w:t>
        <w:br/>
        <w:t xml:space="preserve">Reporting Judge: LUCIA ACIN AGUADO  </w:t>
        <w:br/>
        <w:t xml:space="preserve">Procedure: ADMINISTRATIVE LITIGATION  </w:t>
        <w:br/>
        <w:t xml:space="preserve">Type of Resolution: Judgment  </w:t>
        <w:br/>
        <w:t xml:space="preserve">Summary:  </w:t>
        <w:br/>
        <w:t xml:space="preserve">Competition Defense. Archiving of complaint  </w:t>
        <w:br/>
        <w:t xml:space="preserve">Language:  </w:t>
        <w:br/>
        <w:t xml:space="preserve">Spanish  </w:t>
        <w:br/>
        <w:t xml:space="preserve">JUDGMENT  </w:t>
        <w:br/>
        <w:t xml:space="preserve">Madrid, on the tenth of April two thousand thirteen.  </w:t>
        <w:br/>
        <w:t xml:space="preserve">Having seen the administrative litigation appeal No. 106/2011 filed before this Sixth Section of the Administrative Litigation Chamber of the National Court by the CATALAN FEDERATION OF MEAT INDUSTRIES (FECIC) represented by the Court Attorney Mr. José Luis Ferrer Recuero, subsequently replaced by Mr. Luís de Villanueva Ferrer against the resolution of the Council of the National Competition Commission (CNC) dated December 29, 2010 (file S/290/10) which agrees not to initiate sanctioning proceedings and to archive the actions on the grounds that the reported facts do not present indications of infringement of the LDC. The defendant Administration has been represented and defended by Mr. State Attorney. The Catalan Association of Beef Producers and Breeders (ASOPROVAC CATALUNYA) has intervened as a co-defendant, represented by the Attorney Mr. Javier Freixa Iruela. The amount of the appeal is indeterminate.  </w:t>
        <w:br/>
        <w:t xml:space="preserve">FACTUAL BACKGROUND  </w:t>
        <w:br/>
        <w:t xml:space="preserve">SOLE: On March 15, 2011, the legal representation of the plaintiff filed an administrative litigation appeal against the act indicated in the heading of this judgment before this Administrative Litigation Chamber of the National Court. It was assigned to the sixth section where it was admitted for processing, requesting the administrative file. A complaint was filed on September 1, 2011, in which the party requested "declare the full nullity of said resolution for being contrary to law, and agree to urge the National Competition Commission to initiate the corresponding sanctioning procedure against the entities reported in file S/0290/10 for clear indications of infringement of the Competition Defense Law." The State Attorney was summoned and responded to the complaint by a written statement on May 3, 2012. Upon request for the admission of evidence, and once the relevant evidence was conducted and conclusions were presented, the case was pending scheduling for voting and judgment on December 26, 2012, which was set for March 20, 2013.  </w:t>
        <w:br/>
        <w:t xml:space="preserve">HAVING CONSIDERED the legal articles cited by the parties and other generally and pertinently applicable laws, and with Doña LUCIA ACIN AGUADO, Magistrate of the Section, as the Reporting Judge.  </w:t>
        <w:br/>
        <w:t xml:space="preserve">LEGAL REASONING  </w:t>
        <w:br/>
        <w:t xml:space="preserve">FIRST: The challenged act is the resolution of the Council of the National Competition Commission (CNC) dated December 29, 2010 (file S/290/10) regarding prohibited conduct under Law 15/2007 on Competition Defense, which agrees not to initiate sanctioning proceedings and to archive the actions on the grounds that the reported facts do not present indications of infringement thereof.  </w:t>
        <w:br/>
        <w:t xml:space="preserve">The reported facts are based on the publication of a new ministerial order from the Ministry of Environment, Rural and Marine Affairs (MARM) in May 2010, which establishes a new control system for the destination of by-products generated in the meat food chain, the reported associations sent various communications to their members eliminating the possibility for farmers to reach individual agreements with meat companies regarding the payment for by-products generated by the slaughter of animals, specifically regarding the destruction of so-called specific risk materials (SRM).  </w:t>
        <w:br/>
        <w:t xml:space="preserve">SECOND: The first issue to resolve is the allegation of the State Attorney regarding the fact that the power to initiate a sanctioning file cannot be subject to judicial control as its opening responds not only to violations of the legal system but also to the policy of the Department itself, taking into account that the Administration does not have sufficient means to initiate a sanctioning file regarding any type of violation of the legal system.  </w:t>
        <w:br/>
        <w:t xml:space="preserve">In this case, the resolution subject to the appeal does not archive the complaint in the exercise of the discretion available to the CNC to initiate a sanctioning file when it deems appropriate, nor for reasons of organization of the entity, but rather based on a legal and factual analysis concluding that it does not perceive indications of infringement in the reported conduct, allowing the appellant to make the appropriate allegations regarding that motivation and this Chamber to examine those allegations.  </w:t>
        <w:br/>
        <w:t xml:space="preserve">The control is limited in the sense that this Chamber will not rule on whether prohibited conduct has been carried out under Law 15/2007 on Competition Defense but will examine whether the arguments presented do not incur in legal error or are based on materially inaccurate facts, since in this case no resolution has been issued by the competent administrative body addressing the substance of the reported facts but rather the archiving of the complaint is agreed upon due to the lack of perceived indications of infringement. In this regard, the judgment of the Court of First Instance of February 14, 2001 (case T-115/99) referring to the judicial control of the resolutions of the Commission to archive complaints due to lack of community interest indicates in its section 32 "The discretionary power available to the Commission in this regard is not without limits. On one hand, the Commission is subject to the duty of motivation when it refuses to continue examining a complaint, and that motivation must be sufficiently precise and detailed to allow the Court of First Instance to exercise effective control over the Commission's exercise of its discretionary power to define priorities" and regarding judicial control, it states in section 34 that "its purpose is to verify that the contested Decision is not based on materially inaccurate facts, is not tainted by any error of Law, nor by any manifest error of appreciation, nor by abuse of power."  </w:t>
        <w:br/>
        <w:t xml:space="preserve">THIRD: The appellant opposes the archiving of the complaint because it considers that the communications made between the defendants constitute practices prohibited by Article 1 of the LDC, consisting of a collective recommendation adopted jointly by all the reported associations and directed to their members, aimed at unifying their behavior and altering the normal functioning of the market concerning the payment for by-products generated by the slaughter of animals, specifically regarding the destruction of the so-called specific risk materials (SRM). It points out that the communications sent eliminate the possibility for farmers to reach individual agreements with meat companies regarding the payment for by-products generated by the slaughter of animals, specifically regarding the destruction of the so-called specific risk materials.  </w:t>
        <w:br/>
        <w:t>In the challenged resolution, a response has already been given to that allegation indicating the specific circumstances of the examined case that determine the non-initiation of the sanctioning file, with the CNC referring to the fact that the purpose of the letters sent was to echo a regulation from the Ministry of Environment, Rural and Marine Affairs (hereinafter MARM) order ARM/1163/2010 of April 29 (BOE May 7) which modifies order APA/1556/2002 of June 21, which seeks to avoid the imprecise interpretation of the previous legal framework regarding the control system for the destination of by-products generated in the food chain and which that regulation clarifies. Prior to that order, there was intense confrontation between farmers and the meat industry over who should be responsible for financing the elimination of the by-products generated in the meat food chain, with actions from the meat industry recommending its members to pass on the cost of the removal of meat meals to farmers, one of them dating back in time (complaint from 2002 made by several national organizations from the livestock sector which ended with the imposition of a sanction by the TDC on several organizations from the meat industry (including FECIC) by resolution of February 13, 2004 (file VS/556/03) and another conduct in dates very close to the date of sending the letters by the defendants here also considered a collective recommendation and carried out through the dissemination by the meat industry in June 2009 of various circulars disseminating a legal report indicating that the practice of passing on the costs of the removal and destruction of the SRM to farmers has solid legal support against the conclusions of March 3, 2009, of the National Commission of Animal By-Products not intended for human consumption (SANDACH) (complaint of July 7, 2010 filed among others by the reported ASOPROVAC which has ended with the imposition of a sanction among others to the complainant FECIC by resolution of the CNC of November 7, 2012, file S/0289/10).</w:t>
      </w:r>
    </w:p>
    <w:p>
      <w:r>
        <w:rPr>
          <w:b/>
        </w:rPr>
        <w:t>[Pages 4–5]</w:t>
      </w:r>
    </w:p>
    <w:p>
      <w:r>
        <w:t>Therefore, evaluating the context in which the dissemination occurs (the sending of the letters to the members takes place on the same date or on dates very close to when the MARM publishes a press release (May 7, 2010) informing that the bases have been published in the BOE "to prevent the impact of the costs of removing specific risk material (SRM) on farmers") and the existence of a prior situation of recommendation by the meat industry to pass on the costs to the farmers, even supported by legal reports, it cannot be considered, as the CNC understands, that the purpose of the conduct was anticompetitive. The appellant claims that the resolution is inconsistent since the CNC does recognize that the conduct may lead to a certain unification of criteria in that it may be interpreted by the recipients as meaning that no type of discount can be negotiated, and therefore, the case should not have been archived. This Chamber does not perceive such inconsistency considering that the CNC, recognizing this circumstance, reasons why it understands that the purpose of the conduct was not anticompetitive, arguments that are shared. However, the CNC warns that in the future they must refrain from making communications like those made without noting that the regulation must be understood without prejudice to specific agreements between clients and suppliers in each case. The appellant alleges that the principle of equality is violated given the difference in criteria that the CNC has when judging the existence or not of collective recommendations from the associations of farmers (such as ASOPROVAC) or from the meat industry (such as the appellant FECIC), referring to files VS/556/03 and S/0289/10. This Chamber does not perceive that the principle of equality has been violated as there is no identical legal context derived from the fact that this communication occurs immediately after the publication of a ministerial order which, as indicated by the ministry itself, aimed in accordance with the conclusions of the SANDACH commission to prevent the impact of the costs of removing SRM on farmers, which does not happen in the case of the recommendations made by the meat industry, which precisely what the last of them does is disseminate in June 2009 prior to the publication of the ministerial order of April 2010 a counter-report against the conclusions of the SANDACH Commission.</w:t>
      </w:r>
    </w:p>
    <w:p>
      <w:r>
        <w:t>FOURTH: No merits are appreciated that determine a special pronouncement on costs, in accordance with the criteria contained in Article 139.1 of the Law Regulating Administrative Litigation Jurisdiction.</w:t>
      </w:r>
    </w:p>
    <w:p>
      <w:r>
        <w:t>HAVING CONSIDERED the cited provisions and other generally and pertinently applicable laws, by the power granted to us by the Constitution:</w:t>
      </w:r>
    </w:p>
    <w:p>
      <w:r>
        <w:t>WE DECREE</w:t>
      </w:r>
    </w:p>
    <w:p>
      <w:r>
        <w:t>TO DISMISS</w:t>
      </w:r>
    </w:p>
    <w:p>
      <w:r>
        <w:t>the administrative contentious appeal filed by the legal representation of the CATALAN FEDERATION OF MEAT INDUSTRIES (FECIC) against the resolution of the Council of the National Competition Commission (CNC) dated December 29, 2010 (file S/290/10) which is declared lawful in the examined aspects. No costs are imposed.</w:t>
      </w:r>
    </w:p>
    <w:p>
      <w:r>
        <w:t>Thus, by this our judgment, which will be notified stating that an appeal for cassation can be filed against it, following the prescribed indications in Article 248 of Organic Law 6/1985, and a testimony of which will be sent in due course to the office of origin for legal purposes along with the file, if applicable, we pronounce, order, and sign.</w:t>
      </w:r>
    </w:p>
    <w:p>
      <w:r>
        <w:t>PUBLICATION.- The previous judgment was read and published in the customary manner by the Honorable Reporting Magistrate, being constituted in public hearing, of which I, the Secretary, attest.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