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https://www.cnmc.es/expedientes/s029810</w:t>
      </w:r>
    </w:p>
    <w:p>
      <w:r>
        <w:t>Pages translated : 9</w:t>
      </w:r>
    </w:p>
    <w:p/>
    <w:p>
      <w:r>
        <w:rPr>
          <w:b/>
        </w:rPr>
        <w:t>[Pages 1–3]</w:t>
      </w:r>
    </w:p>
    <w:p>
      <w:r>
        <w:t xml:space="preserve">RESOLUTION  </w:t>
        <w:br/>
        <w:t xml:space="preserve">Expte. S/0298/10 Occupational Risk Prevention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March 24, 2011  </w:t>
        <w:br/>
        <w:t xml:space="preserve">The Council of the National Competition Commission, with the composition expressed and being the Rapporteur Councilor Ms. Inmaculada Gutiérrez Carrizo, has issued the following Resolution in file S/0298/10, initiated against INTECA (the Association for European Quality), Labor Risk Institute, HUMANITAS (Association for Support of Integration), PREVENGO (Association for Occupational Risk Prevention) and FORPE (Foundation for Vocational Training for Employment) by virtue of the complaint filed by the Federation of External Prevention Services ASPA for alleged prohibited conduct under Articles 1 and 3 of Law 15/2007, of July 3, on the Defense of Competition (LDC).  </w:t>
        <w:br/>
        <w:t xml:space="preserve">FACTUAL BACKGROUND  </w:t>
        <w:br/>
        <w:t xml:space="preserve">1. On September 21, 2010, a written complaint was received at the National Competition Commission (CNC) from the Federation of External Prevention Services - ASPA, which filed a complaint against INTECA, Labor Risk Institute, HUMANITAS, PREVENGO, and FORPE for alleged prohibited conduct under Articles 1 and 3 of the LDC, consisting of the sending by these entities to various companies and business associations throughout the national territory of supposedly misleading advertising consisting of the offer of courses in first aid and fire fighting provided through a training entity related to them (PRESCAL), mentioning the obligation of the recipients to receive these courses in compliance with Law 31/95 on the Prevention of Occupational Risks and employing the threat of possible sanctions in case of non-compliance with said Law.  </w:t>
        <w:br/>
        <w:t xml:space="preserve">2. In order to ascertain the reality of the facts to determine if there may be indications of infringement, the Directorate of Investigation, in accordance with the provisions of Article 49.2 of the LDC, agreed to carry out a reserved inquiry as a preliminary step to the initiation of the corresponding file, if appropriate in its case. In the framework of this reserved inquiry, requests for information were made to the Directorate General of the Labor and Social Security Inspection of the Ministry of Labor and Immigration and to the complainant.  </w:t>
        <w:br/>
        <w:t xml:space="preserve">3. The Directorate of Investigation provides the following description of the complainant and the accused parties.  </w:t>
        <w:br/>
        <w:t xml:space="preserve">The complainant, the Federation of External Prevention Services ASPA (ASPA), is a federation of employers comprised of companies and associations dedicated to providing external occupational risk prevention services as outlined in Law 31/1995, of November 8, on the Prevention of Occupational Risks (LPRL). The territorial scope of its activity is the territory of the Spanish State, although it may carry out activities exclusively at the autonomous or municipal level, as it has 13 associations at the autonomous level.  </w:t>
        <w:br/>
        <w:t xml:space="preserve">The complaint is directed against the following entities:  </w:t>
        <w:br/>
        <w:t xml:space="preserve">INTECA is an association created to promote a culture of quality and sustainable development through actions that generate value for its members and for the association in general. One of its main objectives is to boost and promote the competitiveness of companies and their professionals.  </w:t>
        <w:br/>
        <w:t xml:space="preserve">LABOR RISK INSTITUTE is a non-profit organization, with social objectives to improve labor relations in companies; promote the integration of immigrants, women, and people with disabilities into society and improve the forecasts of occupational risks. For the latter, it organizes courses on fire prevention and first aid.  </w:t>
        <w:br/>
        <w:t xml:space="preserve">HUMANITAS is an association whose main social purpose is to defend and disseminate the social, labor, or any other rights and duties of immigrants, people with disabilities, or dependents; promote programs aimed at the creation and/or maintenance of employment for these individuals and improve their working conditions, among others.  </w:t>
        <w:br/>
        <w:t xml:space="preserve">PREVENGO is a non-profit association that pursues, as its main objectives, to improve the forecasts of occupational risks in companies; improve labor relations in companies; promote the integration of immigrants, women, and people with disabilities in companies and society; provide courses and training modules at basic, intermediate, and advanced levels and develop educational materials.  </w:t>
        <w:br/>
        <w:t xml:space="preserve">FORPE is a foundation created in December 2009, composed, among others, of the accused associations (INTECA, HUMANITAS, and PREVENGO), which defends the common interests of the same.  </w:t>
        <w:br/>
        <w:t xml:space="preserve">The Directorate of Investigation points out that both the phone and fax numbers, as well as the addresses of all the accused entities coincide. Furthermore, the Labor Risk Institute, PREVENGO, and INTECA have the same President.  </w:t>
        <w:br/>
        <w:t xml:space="preserve">PRESCAL is a group of companies dedicated to providing comprehensive services in Occupational Risk Prevention and Safety, Training, Quality, and Environment, and Outsourcing and Logistics Services. It is related in various ways, according to the Directorate General of the Labor and Social Security Inspection, with the Labor Risk Institute, PREVENGO, and INTECA.  </w:t>
        <w:br/>
        <w:t xml:space="preserve">According to the information provided by the Directorate General of the Labor and Social Security Inspection, this entity is accredited as a Prevention Service under the terms required by Article 19 of the LPRL to be able to provide the training courses referred to in Articles 19 and 20 of said Law.  </w:t>
        <w:br/>
        <w:t xml:space="preserve">4. The prevention of external risks in Spain is regulated by Law 31/1995, of November 8, on the Prevention of Occupational Risks and Royal Decree 39/1997, of January 17, which approves the Regulation of Occupational Risk Prevention Services (RSP). For the purposes of this file, the Directorate of Investigation highlights in its proposed report that the applicable regulations on Occupational Risk Prevention (PRL) in Spain determine that the training of workers in PRL matters is mandatory and that this can be provided by in-house or external means. For the employer to train their workers using in-house means, they must homologate their own training or that of the designated worker for this task, at an intermediate level in PRL matters, regulated in RD 39/1997, of January 17, which approves the RSP. In case external means are used, they are outsourced to External Prevention Services (SPA), which have their required accreditation from the competent labor authority in accordance with the aforementioned Regulation.  </w:t>
        <w:br/>
        <w:t xml:space="preserve">5. From its actions, the Directorate of Investigation concludes the following facts:  </w:t>
        <w:br/>
        <w:t xml:space="preserve">1. "According to the complainant, since 2008 the accused associations have sent to different companies and business associations throughout the national territory (either by email or by telephone calls) offers of courses in fire prevention and first aid provided by the entity 'Prescal' in relation to the provisions of Article 20 of the LPRL. As proof of this assertion, ASPA provided along with its complaint and in its responses to the requests for information from the Directorate of Investigation the 11 complaints/queries from Prevention Services sent via email to said Federation regarding the communications sent from 2008 to 2010 by the accused associations (INTECA, Labor Risk Institute, Humanitas, and Prevengo). It also listed the various associations that are part of the ASPA Federation through which news/complaints have been received regarding this during the various meetings of the Federal Committee of ASPA in their respective Autonomous Communities: ASPA. MADRID, SERPRECOVA, ASPRAMUR, ACMSPA, ASPA-ANDALUCIA, ASPA-BALEARES, ASPA-CAT, ASPAEX, ASPACYL, AGASPA, and ASPA-EUSKADI (folios 34 to 46, 145 to 161, 181, 182, and 188 to 226).  </w:t>
        <w:br/>
        <w:t>For its part, the Directorate General of the Labor and Social Security Inspection claims to be aware of these actions in Aragón, Cantabria, Castilla la Mancha, Catalonia, the Basque Country, Andalusia, the Valencian Community, and Galicia (folio 112).</w:t>
      </w:r>
    </w:p>
    <w:p>
      <w:r>
        <w:rPr>
          <w:b/>
        </w:rPr>
        <w:t>[Pages 4–6]</w:t>
      </w:r>
    </w:p>
    <w:p>
      <w:r>
        <w:t>2. In the communications sent by email, an excerpt from Article 20 of the LPRL was included, and a letter from the Directorate General of Labor was attached, in which the obligation of the employer to train their company's workers in first aid and fire fighting was communicated, with such training needing to be both theoretical and practical. It was also mentioned that a company failing to comply with the aforementioned Article 20 could be sanctioned as a serious offense and fined up to 40,000 euros, provided that no accident had occurred, in which case, the employer could be accused of negligence and non-compliance with the Law, and the penalty could reach up to 800,000 euros, and an excerpt from the Law on Infractions and Sanctions in the Social Order was included. After this information, it was mentioned that “given this obligation of the employer” or on other occasions “given the importance of working with Safety for the company,” the defendant entity that authored the communication had commissioned Prescal to organize courses in fire prevention and first aid, courses that could also be obtained at no additional cost to the company (folios 8, 9, 34 to 43, 111, 112, 145 to 149, 162, and 188 to 226).</w:t>
      </w:r>
    </w:p>
    <w:p>
      <w:r>
        <w:t>3. During the years 2008 and 2009, the Directorate General of the Labor and Social Security Inspection, in response to communications sent in various Autonomous Communities to employers and business associations by the so-called Association of Occupational Risk Prevention “PREVENGO” (although at times reference is made to the Institute of Labor Risks or other names), published various statements (folios 94 to 98 and 228 to 230) in which it was informed that:</w:t>
        <w:br/>
        <w:t>• The Labor and Social Security Inspection does not collaborate, subscribe to, or support the work carried out by any External Prevention Service or Training Entity on an individual basis.</w:t>
        <w:br/>
        <w:t>• The Labor and Social Security Inspection is not carrying out generalized requests regarding occupational risk prevention.</w:t>
        <w:br/>
        <w:t>• The bonuses in Social Security contributions provided for continuous professional training are not the correct means of financing legal obligations in occupational risk prevention.</w:t>
      </w:r>
    </w:p>
    <w:p>
      <w:r>
        <w:t>4. The Directorate General of the Labor and Social Security Inspection considers that the statements made in the emails sent by the accused entities regarding the obligations of employers in relation to emergency situations are true.</w:t>
      </w:r>
    </w:p>
    <w:p>
      <w:r>
        <w:t>5. Furthermore, although it was initially considered doubtful that the courses offered could be conducted at no additional cost by including the courses in the continuous training credits and being compensated by the company with the payment of social security, the State Public Employment Service, when consulted, issued a report indicating that it complied with the regulations (folios 112 and 121 to 127).</w:t>
      </w:r>
    </w:p>
    <w:p>
      <w:r>
        <w:t>6. However, the Directorate General of the Labor and Social Security Inspection states that the accused entities, in the aforementioned communications sent, improperly used the name of the Labor Inspection of the Ministry of Labor and Immigration, implying that campaigns were being conducted by it to demand compliance with Article 20 of the LPRL (folio 111).</w:t>
      </w:r>
    </w:p>
    <w:p>
      <w:r>
        <w:t>7. On the other hand, regarding the assertion that fines for sanctions could reach up to 800,000 euros, the Directorate General of the Labor and Social Security Inspection maintains that this assertion is not true since Royal Legislative Decree 5/2000, of August 4, which approves the consolidated text of the Law on Infractions and Sanctions in the Social Order, in its Article 12.10 classifies as a serious infraction: failing to adopt the measures provided for in Article 20 of the LPRL regarding first aid, fire fighting, and evacuation of workers, with the maximum amount, according to Article 40 of that same Law, being 40,985 euros. However, it highlights that at times they also sent an annex with a document obtained from the website of the National Institute of Safety and Hygiene at Work, dependent on the Ministry of Labor, which accurately stated that the infraction was serious, although they later included the amounts of the sanctions corresponding to minor, serious, and very serious infractions, with the maximum in the latter case being 819,780 euros (folio 112).</w:t>
      </w:r>
    </w:p>
    <w:p>
      <w:r>
        <w:t>8. On March 8, 2010, the Directorate General of the Labor and Social Security Inspection sent a letter to the President of the Institute of Labor Risks, an entity that according to that Directorate is related in various ways to the so-called Association of Occupational Risk Prevention S.L. “PREVENGO,” Association for European Quality (INTECA), or to PRESCAL S.L. (Occupational Risk Prevention, Safety, and Quality S.L.), requesting that they cease the aforementioned advertising communications, in which the name of the Labor Inspection was improperly used (folio 111).</w:t>
      </w:r>
    </w:p>
    <w:p>
      <w:r>
        <w:t>9. On May 14, 2010, the President of the Institute of Labor Risks responded to the Directorate General of the Labor and Social Security Inspection indicating that they took note of the indications made and that they would eliminate any reference to the action programs of the Labor Inspection and its sanctioning capacity. Since that date, there has been no information from the Provincial Labor Inspections regarding new communications to companies that did not respect such commitment, and in the 3 complaints submitted by ASPA (see footnote 4) after this date, the accused entities do not use the name of the Labor Inspection nor mention possible sanctions in case of non-compliance with Article 20 of the LPRL (folios 44, 45, 113, 158, 159, and 209 to 222).</w:t>
      </w:r>
    </w:p>
    <w:p>
      <w:r>
        <w:t>10. Regarding the effects of the reported practices, in response to the first request for information from the Directorate of Investigation in which the quantification of the effects derived from the reported facts was requested, ASPA asserts that the damages caused both to SPAs and client companies are confusion and discredit of the work carried out by SPAs, harming them in the market, and resulting in the termination of contracts, but it does not provide any data or supporting evidence, as it claims that it is difficult to quantify these damages (folios 146 and 147).</w:t>
      </w:r>
    </w:p>
    <w:p>
      <w:r>
        <w:t>11. Subsequently, ASPA in its response to a second request for information from the Directorate of Investigation in which the request for quantification of the effects derived from the reported facts was reiterated, indicating which specific companies linked or not to that Federation have been affected and substantiating the real economic harm for each of them, provided general data on training in the field of occupational risk prevention (folios 185 to 186):</w:t>
        <w:br/>
        <w:t>• 250 companies providing occupational risk prevention services linked to ASPA can provide such training, another 250 unassociated SPAs, and 20 Prevention Societies of Work Accident and Occupational Disease Mutuals that operate under the same regulation.</w:t>
        <w:br/>
        <w:t>• According to the V Survey of Working Conditions prepared by the National Institute of Safety and Hygiene, the employer outsources, through an SPA, their preventive activity and therefore the training of their workers by 83%, with SPAs being responsible for providing this training.</w:t>
        <w:br/>
        <w:t>• Based on the special report issued by DBK, Sector Analysis at the end of 2007, the estimated turnover in the SPA sector for the year 2006 is 695 million euros, and of this, around 10% corresponds to specific training for companies. Of all this training, ASPA considers that it can be estimated that 2% relates to first aid and emergency plans (about 13.9 million euros). From this turnover, the complainant states that it is difficult to determine what proportion may have been carried out by the accused entity, but due to the territorial scope and the aggressive campaign, it considers that no less than 10% of it, so it estimates that the harm could be around 1.5 million euros. However, the complainant, beyond this general data, has not been able to quantify the real harm that the reported conduct has had for the companies in the sector that this Directorate of Investigation requested, as it states that:</w:t>
        <w:br/>
        <w:t>• It is a transversal training that affects all sectors of activity and therefore the entire Spanish business fabric.</w:t>
      </w:r>
    </w:p>
    <w:p>
      <w:r>
        <w:rPr>
          <w:b/>
        </w:rPr>
        <w:t>[Pages 7–9]</w:t>
      </w:r>
    </w:p>
    <w:p>
      <w:r>
        <w:t xml:space="preserve">• The heterogeneity of the SPAs complicates the possibility of establishing an estimate of the affected companies and their net billing volume.  </w:t>
        <w:br/>
        <w:t xml:space="preserve">• The complaints submitted are only a sample collected throughout the Spanish territory by some of its associates, making it quite complicated to establish the extent of the damages and/or account for lost amounts by the sector due to these practices.  </w:t>
        <w:br/>
        <w:t xml:space="preserve">12. For its part, the Directorate General of the Labor and Social Security Inspection, in response to this Directorate of Investigation's question about who could have been affected by the reported practices, indicates that companies could be harmed if the courses are not conducted or are not conducted with the appropriate program, and also the workers in this latter case (folio 113).  </w:t>
        <w:br/>
        <w:t xml:space="preserve">6. On March 11, 2011, the Directorate of Investigation sent to this Council of the CNC a Proposal for Filing of the proceedings followed in the reference file in accordance with the provisions of Article 49.3 of the LDC.  </w:t>
        <w:br/>
        <w:t xml:space="preserve">The Directorate of Investigation states that it has not been proven that there is any agreement among the accused parties that could have the object or effect of limiting competition. These are entities related to each other that promote courses from another entity related to them. The Directorate of Investigation also considers that the reported practices would better fit as a possible act of unfair competition and, therefore, as a possible infringement of Article 3 of the LDC.  </w:t>
        <w:br/>
        <w:t xml:space="preserve">Based on the information provided by the Directorate General of the Labor and Social Security Inspection, the Directorate of Investigation does not conclude that the promotional acts carried out by the accused parties can be classified as unfair:  </w:t>
        <w:br/>
        <w:t xml:space="preserve">“The Directorate General of the Labor and Social Security Inspection states that the statements in the emails sent by the accused companies regarding the obligations of employers in relation to emergency situations were true (HA 4). However, it states that the communications sent from 2008 to May 2010 made incorrect use of the name of the Labor Inspection, implying that campaigns were being carried out by it to demand compliance with Article 20 of the LPRL and confused the recipient regarding the sanctions that could be imposed on companies in case of non-compliance with said article. Nevertheless, the Directorate General of the Labor and Social Security Inspection also highlights that in some cases they sent an annex with a document obtained from the website of the National Institute of Safety and Hygiene at Work, dependent on the Ministry of Labor, which accurately stated that the infringement was serious (HA 6 and 7).  </w:t>
        <w:br/>
        <w:t xml:space="preserve">In any case, after the letter sent by the Directorate General of the Labor and Social Security Inspection to the accused companies requesting that they no longer use the name of the Labor Inspection, the accused companies, in the messages in which they offered courses on occupational risk prevention, removed references to the action programs of the Labor Inspection and to the sanctions provided for non-compliance with Article 20 of the LPRL (HA 8 and 9).”  </w:t>
        <w:br/>
        <w:t xml:space="preserve">The Directorate of Investigation states that even if it were considered that the advertising carried out constitutes an unfair act, there are no indications that competition has been distorted in such a way that public interest has been harmed:  </w:t>
        <w:br/>
        <w:t xml:space="preserve">“The Directorate General of the Labor and Social Security Inspection states that the possible harmed parties by the communications sent by the accused entities regarding the prevention courses in occupational risk matters would be the companies and the workers of those companies if the courses are not conducted or are not conducted with the appropriate program (HA 12). This Directorate of Investigation understands that these communications in no case produced such harm, but rather urged the recipient company to carry out fire prevention and first aid courses in compliance with Article 20 of the LPRL (HA 2) and contrary to what the complainant claims, the courses offered were taught by an entity that had the necessary accreditation (footnote 3). Furthermore, the companies that received these communications, in exercising their freedom of choice, could have opted for that or another entity, as they were in no case obliged to conduct the courses with a specific entity.  </w:t>
        <w:br/>
        <w:t xml:space="preserve">On the other hand, the second possible harmed parties would be other accredited companies to provide fire prevention and first aid courses that lost clients as a result of the communications sent by the accused parties.  </w:t>
        <w:br/>
        <w:t xml:space="preserve">(...) despite the repeated requests for information from this Directorate of Investigation requesting the quantification of the effects derived from the reported facts, ASPA has not provided any data that proves that the reported practices have significantly distorted the behavior of the companies that can provide training in occupational risk prevention and, therefore, it cannot be concluded that there has been an impact on public interest (see H.A 10 and 11).  </w:t>
        <w:br/>
        <w:t xml:space="preserve">ASPA has limited itself to providing general data on the occupational risk prevention market in Spain based on a report from 2006 (...) But it does not provide data that proves that the companies in the sector have been directly affected in any way by the reported practices (decrease in billing, loss of clients/students,...) and it also does not allow for an assessment of the extent to which the billing of the accused companies has increased and what percentage of this increase could be attributed to a possible misleading advertising campaign carried out from 2008 to 2010.  </w:t>
        <w:br/>
        <w:t xml:space="preserve">Taking the above into account, it can be concluded that there are no indications that the accused parties have committed an infringement of the LDC.  </w:t>
        <w:br/>
        <w:t xml:space="preserve">13. The Council of the National Competition Commission deliberated and issued this Resolution in its meeting of March 16, 2011.  </w:t>
        <w:br/>
        <w:t xml:space="preserve">LEGAL GROUNDS  </w:t>
        <w:br/>
        <w:t xml:space="preserve">Single.- Article 49.1 of the LDC provides that the Directorate of Investigation shall initiate sanctioning proceedings when it observes reasonable indications of the existence of prohibited conduct in Articles 1, 2, and 3 of the Law. In number 3 of the same legal provision, it is added that the Council, at the proposal of the Directorate of Investigation, shall agree not to initiate sanctioning proceedings and, consequently, to file the actions carried out when it considers that there are no indications of infringement.  </w:t>
        <w:br/>
        <w:t xml:space="preserve">In view of the complaint submitted and the analysis of the facts carried out by the Directorate of Investigation, the Council does not perceive reasonable indications of infringement of Law 15/2007. The existence of any agreement among the accused parties that could have the object or effect of limiting competition has not been proven, so it cannot be said that there are indications of infringement of Article 1 of the LDC. Regarding a possible violation of Article 3 of the LDC, the necessary prerequisite of affecting public interest does not occur in this case since it has not been substantiated that competition has been significantly affected by the promotional acts carried out by the accused parties. Thus, Article 3 of the LDC would not be applicable to the conduct either.  </w:t>
        <w:br/>
        <w:t xml:space="preserve">Since there are no indications of restrictive practices prohibited by Articles 1 and 3 of the Law on the Defense of Competition, the Council considers the Proposal for Filing of the actions carried out in the framework of file S/0298/11 to be lawful.  </w:t>
        <w:br/>
        <w:t xml:space="preserve">In merit of the above, in view of the cited provisions and those of general application, the Council of the National Competition Commission.  </w:t>
        <w:br/>
        <w:t xml:space="preserve">HAS RESOLVED  </w:t>
        <w:br/>
        <w:t xml:space="preserve">SINGLE.- Not to initiate sanctioning proceedings and to file the reserved actions initiated against INTECA, Instituto de Riesgo Laboral, HUMANITAS, PREVENGO, and FORPE by virtue of the complaint filed by the Federation of External Prevention Services ASPA for alleged conduct prohibited by Law 15/2007, of July 3, on the Defense of Competition (LDC).  </w:t>
        <w:br/>
        <w:t>This Resolution shall be communicated to the Directorate of Investigation and notified to the complainant,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