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https://www.cnmc.es/expedientes/s030510</w:t>
      </w:r>
    </w:p>
    <w:p>
      <w:r>
        <w:t>Pages translated : 48</w:t>
      </w:r>
    </w:p>
    <w:p/>
    <w:p>
      <w:r>
        <w:rPr>
          <w:b/>
        </w:rPr>
        <w:t>[Pages 1–3]</w:t>
      </w:r>
    </w:p>
    <w:p>
      <w:r>
        <w:t xml:space="preserve">Resolution  </w:t>
        <w:br/>
        <w:t xml:space="preserve">(Expte. S/0305/10 Grapes D.O. Valdepeñas)  </w:t>
        <w:br/>
        <w:t xml:space="preserve">Council:  </w:t>
        <w:br/>
        <w:t xml:space="preserve">Sirs: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Díez Martín, Councilor  </w:t>
        <w:br/>
        <w:t xml:space="preserve">In Madrid, on November 29, 2012.  </w:t>
        <w:br/>
        <w:t xml:space="preserve">The Council of the National Competition Commission (CNC), with the composition stated above, and with the Rapporteur being Councilor Ms. María Jesús González López, has issued this resolution in the sanctioning file S/305/10, Grapes D.O. Valdepeñas, initiated against INTERVALDEPEÑAS, ASEVIVALDEPEÑAS, AMBV, and ASEVICAMAN for alleged restrictive competition practices, in accordance with Law 15/2007, of July 3, on the Defense of Competition (LDC).  </w:t>
        <w:br/>
        <w:t xml:space="preserve">FACTUAL BACKGROUND  </w:t>
        <w:br/>
        <w:t xml:space="preserve">1. On October 4, 2010, a letter from the Regional Competition Commission of Castilla-La Mancha (hereinafter CRCCLM) was received at the National Competition Commission (hereinafter CNC), in which, in compliance with the coordination mechanism provided in Article 2.1 of Law 1/2002, of February 21, on the Coordination of the Competences of the State and the Autonomous Communities in matters of competition defense, a copy of the actions carried out by the CRCCLM was sent, and it was reported that, in light of news appearing in various media referring to possible behaviors of the producers regarding the purchasing conditions of grapes for the production of wine covered by the Designation of Origin "Valdepeñas," a reserved inquiry was initiated, concluding that there were indications of possible anti-competitive behaviors typified in Article 1 of Law 15/2007, of July 3, on the Defense of Competition (hereinafter LDC) (folios 1 to 7).  </w:t>
        <w:br/>
        <w:t xml:space="preserve">2. On October 8, 2010, in view of the documentation sent, the Investigation Directorate of the CNC communicated to the CRCCLM that the described behaviors could alter free competition in the entire national market, as well as affect intra-Community trade, so in compliance with Article 1.1 of Law 1/2002 it was considered that the competent body to know about these actions was the CNC, through the DI (folios 8 to 17).  </w:t>
        <w:br/>
        <w:t xml:space="preserve">3. On October 19, 2010, the CRCCLM sent the file to the CNC (folios 7 to 898), initiating by the DI, in accordance with Article 49.2 of the LDC, a reserved inquiry with file number S/0305/10 GRAPES DESIGNATION OF ORIGIN VALDEPEÑAS.  </w:t>
        <w:br/>
        <w:t xml:space="preserve">4. On December 17, 2010, the Investigation Directorate sent a letter to the General Director of Agricultural Production of the Ministry of Agriculture and Rural Development of the Junta de Comunidades de Castilla La Mancha, requesting information regarding the news published at that time, which stated that this administrative body held meetings with producers and winemaking industries of the Designation of Origin "Valdepeñas" and whose objective would be the agreement on the minimum selling price of grapes (folios 899 and 900). The response was received on January 10, 2011 (folio 901).  </w:t>
        <w:br/>
        <w:t xml:space="preserve">5. On March 2, 2011, the Investigation Directorate conducted inspections at the offices of ASEVIVALDEPEÑAS, INTERVALDEPEÑAS, and at the wineries Félix Solís Avantis, S.A. and Miguel Calatayud, S.A. to verify the existence of practices prohibited by Article 1 of the LDC and Article 101 of the TFEU.  </w:t>
        <w:br/>
        <w:t xml:space="preserve">6. On April 12, 2011, the Investigation Directorate, in accordance with the provisions of section 1 of Article 49 of the LDC, agreed to initiate a sanctioning file against INTERVALDEPEÑAS, registered with the number S/0305/10 GRAPES DESIGNATION OF ORIGIN VALDEPEÑAS, for a possible infringement of Article 1 of the LDC and Article 101 of the Treaty on the Functioning of the European Union (TFEU), consisting of possible agreements on the price fixing of grapes within the framework of the Designation of Origin "Valdepeñas," notifying the interested party on that same date (folios 1480 to 1482 and 1483 to 1489).  </w:t>
        <w:br/>
        <w:t xml:space="preserve">7. On April 18, 2011, a letter was sent to ASEVIVALDEPEÑAS (folio 1490) requesting additional information regarding the object of the investigation. In particular, the following information related to the documents obtained during the inspection carried out at its headquarters was requested: i) clarification and explanation of this phrase found in one of the written documents: "Informing the position of the producer sector regarding compliance with the agreement on the price of grapes by the industrial sector" and ii) exact transcription of folios collected that refer to two assemblies of the Association. Additionally, the request for the original signed minutes of the General Assembly and Board of Directors meetings since 2008 was reiterated. At that time, these minutes had already been requested by the CRCCLM and were not sent. The response to this request was received on May 12, 2011 (folios 1623 to 1653).  </w:t>
        <w:br/>
        <w:t xml:space="preserve">8. Also on April 18, 2011, a letter was sent to INTERVALDEPEÑAS requesting additional information regarding the object of the investigation. Specifically, from the information gathered during the inspection, the following was requested: i) exact transcription of the notebook of Mr. Juan Manuel Cruz and its explanation, ii) explanation of a price table that provides different options for the reference price and the price of Designation of Origin "Valdepeñas" for 2008 and iii) explanation of the process of change of ownership of the Regulatory Council of the Designation of Origin to INTERVALDEPEÑAS, specifying the regulations applied for this as well as the legal situation of both (folio 1491). The response to this request was received on May 10, 2011 (folios 1601 to 1622).  </w:t>
        <w:br/>
        <w:t xml:space="preserve">9. On October 5, 2011, a letter was sent to ASEVICAMAN requesting the list of members, statutes, data of the members occupying the governing bodies, and minutes of meetings and circulars from 2008 to date (folios 1727 to 1729). The response was received at the CNC on October 18, 2011 (folios 1751 to 1984).  </w:t>
        <w:br/>
        <w:t xml:space="preserve">10. On the same date, October 5, 2011, a request was made to the Group of Master Winemakers of Valdepeñas (AMBV) for the list of members, statutes, data of the members occupying governing positions, and confirmation of their affiliation to ASEVICAMAN, specifying, if applicable, wineries or members representing them in that Association (folios 1732 to 1734). The response from AMBV was received on October 17, 2011 (folios 1737 to 1750).  </w:t>
        <w:br/>
        <w:t xml:space="preserve">11. On November 3, 2011, a letter was sent to INTERVALDEPEÑAS requesting additional information regarding the object of the investigation. Specifically, the following was requested: i) the Harvest Report corresponding to the 2010 campaign, ii) a detailed explanation of the preparation of all harvest reports from 2008 to 2011, informing who and when they are requested, who prepares them and when, publicity and dissemination, iii) the reports of the Regulatory Council / INTERVALDEPEÑAS from 2008 to 2011, and iv) explanation of the phrases: "The price agreed between the sectors for grapes covered by the Designation of Origin has been..." and "The minimum price of grapes covered by the Designation of Origin received by the winegrowers has been...", which are found in the reports of the years 2008 and 2009, respectively (folios 1987 to 1990). On November 16, 2011, a letter from INTERVALDEPEÑAS was received complying with the information request (folios 2072 to 2242).  </w:t>
        <w:br/>
        <w:t xml:space="preserve">12. On November 8, 2011, a request was made to ASEVIVALDEPEÑAS for the list of members, data of the members occupying the governing bodies, and circulars from 2008 to date (folios 1999 to 2001). In a letter received on November 14, 2011, ASEVIVALDEPEÑAS partially complied with the request (folios 2022 to 2028).  </w:t>
        <w:br/>
        <w:t>13. And on the same date, November 8, 2011, a letter was sent to AMBV requesting the list of members and data of the members who held governing positions between 2008 and 2010; circulars and minutes from 2008 to the present and confirmation of their affiliation to ASEVIVALDEPEÑAS, specifying, if applicable, wineries or members representing them in that Association (folios 2005 to 2007). In a letter dated November 18, 2011, AMBV complied with the information request (folios 2247 to 2252).</w:t>
      </w:r>
    </w:p>
    <w:p>
      <w:r>
        <w:rPr>
          <w:b/>
        </w:rPr>
        <w:t>[Pages 4–6]</w:t>
      </w:r>
    </w:p>
    <w:p>
      <w:r>
        <w:t>November 2011 (folios 3173 to 3175), 22 of November 2011 (folios 3176 to 3178), and 23 of November 2011 (folios 3179 to 3181).</w:t>
      </w:r>
    </w:p>
    <w:p>
      <w:r>
        <w:t>28. On February 17, 2012, the DI requested information from Bodegas Félix Solís, S.A. regarding the invoices issued for the purchase of the different varieties of grapes intended for the production of wine covered by the Denomination of Origin "La Mancha" for the harvest campaigns 2009/2010 and 2010/2011 (folios 3182 to 3184). The response was received on February 20, 2012 (folios 3185 to 3187).</w:t>
      </w:r>
    </w:p>
    <w:p>
      <w:r>
        <w:t>29. On February 20, 2012, the DI requested information from Bodegas Centro Españolas, S.A. regarding the invoices issued for the purchase of the different varieties of grapes intended for the production of wine covered by the Denomination of Origin "La Mancha" for the harvest campaigns 2009/2010 and 2010/2011 (folios 3188 to 3190). The response was received on February 22, 2012 (folios 3191 to 3193).</w:t>
      </w:r>
    </w:p>
    <w:p>
      <w:r>
        <w:t>30. On February 22, 2012, the DI requested information from J. García Carrión, S.A. regarding the invoices issued for the purchase of the different varieties of grapes intended for the production of wine covered by the Denomination of Origin "La Mancha" for the harvest campaigns 2009/2010 and 2010/2011 (folios 3194 to 3196). The response was received on February 24, 2012 (folios 3197 to 3199).</w:t>
      </w:r>
    </w:p>
    <w:p>
      <w:r>
        <w:t>31. On February 24, 2012, the DI requested information from Bodegas Navarro López, S.L. regarding the invoices issued for the purchase of the different varieties of grapes intended for the production of wine covered by the Denomination of Origin "La Mancha" for the harvest campaigns 2009/2010 and 2010/2011 (folios 3200 to 3202). The response was received on February 26, 2012 (folios 3203 to 3205).</w:t>
      </w:r>
    </w:p>
    <w:p>
      <w:r>
        <w:t>32. On February 26, 2012, the DI requested information from Bodegas López Romero, S.L. regarding the invoices issued for the purchase of the different varieties of grapes intended for the production of wine covered by the Denomination of Origin "La Mancha" for the harvest campaigns 2009/2010 and 2010/2011 (folios 3206 to 3208). The response was received on February 28, 2012 (folios 3209 to 3211).</w:t>
      </w:r>
    </w:p>
    <w:p>
      <w:r>
        <w:t>33. On February 28, 2012, the DI requested information from Bodegas Arúspide, S.L. regarding the invoices issued for the purchase of the different varieties of grapes intended for the production of wine covered by the Denomination of Origin "La Mancha" for the harvest campaigns 2009/2010 and 2010/2011 (folios 3212 to 3214). The response was received on March 2, 2012 (folios 3215 to 3217).</w:t>
      </w:r>
    </w:p>
    <w:p>
      <w:r>
        <w:t>34. On March 2, 2012, the DI requested information from Bodegas Lahoz regarding the invoices issued for the purchase of the different varieties of grapes intended for the production of wine covered by the Denomination of Origin "La Mancha" for the harvest campaigns 2009/2010 and 2010/2011 (folios 3218 to 3220). The response was received on March 4, 2012 (folios 3221 to 3223).</w:t>
      </w:r>
    </w:p>
    <w:p>
      <w:r>
        <w:rPr>
          <w:b/>
        </w:rPr>
        <w:t>[Pages 7–9]</w:t>
      </w:r>
    </w:p>
    <w:p>
      <w:r>
        <w:t>February 17, 2012 (response from Glomol, S.L. -folios 3208 to 3210-), February 21, 2012 (response from Viuda de Joaquín Ortega, S. A. -folio 3211-), February 24, 2012 (response from Bodegas Leganza, S.A. -folios 3234 and 3235-), February 27, 2012 (response from Explotaciones y Desarrollo El Bernardo, S.L. (Bodegas Lahoz Hermanos) -folios 3238 to 3243-), February 29, 2012 (response from Bodegas Gallego Laporte (Procesos Industriales y Agrícolas, S.L.) -folios 3250 to 3262-), March 2, 2012 (response from Finca Antigua, S.A. (Grupo Martínez Bujanda) -folios 3274 to 3289-) and March 15, 2012 (response from Bodegas Altizia, S.L. -folios 3424 to 3509-).</w:t>
      </w:r>
    </w:p>
    <w:p>
      <w:r>
        <w:t>b) On February 16, 2012, Bodegas Centro Españolas, S.A. was requested to convert the measure applied in the invoices sent on February 13, 2012 from "euros per kilogram" to "euros per degree" (folios 3173 to 3176). The response to this request was received on February 28, 2012 (folios 3247 and 3248).</w:t>
      </w:r>
    </w:p>
    <w:p>
      <w:r>
        <w:t>c) On March 15, 2012, the DI requested information from ASEVICAMAN regarding its representation percentages in the D.O. La Mancha and Valdepeñas and in the Autonomous Community of Castilla-La Mancha (folios 3511 to 3512). The response to this request was received on March 16, 2012 (folios 3529 to 3532).</w:t>
      </w:r>
    </w:p>
    <w:p>
      <w:r>
        <w:t>d) On March 20, 2012, the DI proceeded to return copies of invoices not included in the file by means of letters to Félix Solís Avantis, S.A. and J. García Carrión, S.A. (folios 3534 to 3537), as well as the return of the DVDs collected during the inspections through letters addressed to INTERVALDEPEÑAS, Félix Solís Avantis, S.A., Miguel Calatayud, S.A. and ASEVIVALDEPEÑAS-ASEVICAMAN (folios 3544 to 3551).</w:t>
      </w:r>
    </w:p>
    <w:p>
      <w:r>
        <w:t>28. The allegations to the PCH from the parties were received at the CNC on March 2, 2012 from AMBV (folios 3290 and 3291) and on March 9 from ASEVIVALDEPEÑAS (folios 3300 to 3314) and ASEVICAMAN (folios 3315 to 3415).</w:t>
      </w:r>
    </w:p>
    <w:p>
      <w:r>
        <w:t>29. Regarding the responses to the information request made by the DI along with the PCH about the turnover of the companies that are part of the associations, all of them replied that they did not have the data, referring to their associated members. After reiterations by the DI to the associations to send the total turnover and to the companies, the responses sent, either through the associations or directly from the companies, were received at the CNC on the following dates:</w:t>
      </w:r>
    </w:p>
    <w:p>
      <w:r>
        <w:t>a) On March 2, 2012, a letter was received from AMBV attaching the requested information on the turnover in 2011 of eight of its members, indicating that another four members send the required information directly to the CNC and two more request that the CNC ask them directly (folios 3271 and 3272). The individual responses from the members of AMBV were received: February 27, 2012 (Bodegas J. Ramírez -folio 3246-); February 29, 2012 (José María Galán León -folio 3249- and Mercantil Marín Perona, S.L. -folio 3263); March 2, 2012 (Bodegas Arúspide, S.L. -folio 3273-); March 8, 2012 (Bodegas López Romero S.L. –folio 3299-); March 12, 2012 (Bodegas Márquez, C.B. –folio 3416-).</w:t>
      </w:r>
    </w:p>
    <w:p>
      <w:r>
        <w:t>b) The individual responses from the members of ASEVICAMAN were received: March 2, 2012 (Finca Antigua, S.A. -folio 3274-); March 13, 2012 (Félix Solís Avantis, S.A. –folios 3419 and 3420-); March 20, 2012 (Bodegas Navarro López S.L. -folio 3561-). And on March 20, 2012, letters were received from Bodegas Lahoz, requesting that these data be individually required (folio 3542) and Bodegas Centro Españolas, S.A. in which it responds that it is not possible to provide the information until the Balance Sheet and the Profit and Loss Account for the year 2011 are closed (folio 3540).</w:t>
      </w:r>
    </w:p>
    <w:p>
      <w:r>
        <w:t>c) The individual responses from the members of ASEVIVALDEPEÑAS were received: March 13, 2012 (Félix Solís Avantis, S.A. -folios 3417 and 3418-); March 16, 2012 (Bodegas Real -folios 3514 and 3515); March 20, 2012 (Bodegas Navarro López S.L. -folio 3561- and Bodegas Espinosa, S.A.-folio 3564), March 21, 2012 (Bodegas F Castro -folio 3574-).</w:t>
      </w:r>
    </w:p>
    <w:p>
      <w:r>
        <w:t>30. On March 22, 2012, the DI notified INTERVALDEPEÑAS, ASEVIVALDEPEÑAS, AMBV and ASEVICAMAN of the closure of the instruction phase (folios 3622 to 3629).</w:t>
      </w:r>
    </w:p>
    <w:p>
      <w:r>
        <w:t>31. On March 23 and 26, 2012, the DI notified the parties of the Proposal for Resolution in similar terms to those of the PCH (folios 3676 to 3753).</w:t>
      </w:r>
    </w:p>
    <w:p>
      <w:r>
        <w:t>32. The allegations to the PR are recorded in the file on folios 4110 to 4116, ASEVICAMAN; 4124 to 4140, ASEVIVALDEPEÑAS and 4142, AMBV, received at the CNC on April 11, 12 and 13, 2012 respectively.</w:t>
      </w:r>
    </w:p>
    <w:p>
      <w:r>
        <w:t>33. On April 13, 2012, the DI submitted the file to the Council accompanied by the Report and Proposal for Resolution referred to in Article 50.4 of the LDC.</w:t>
      </w:r>
    </w:p>
    <w:p>
      <w:r>
        <w:t>34. On July 4, 2012, the Council agreed to send information to the European Commission as provided by Article 11.4 of Council Regulation (EC) No. 1/2003 of December 16, 2002, concerning the application of the competition rules laid down in Articles 101 and 102 of the Treaty. On the same date, it agreed to suspend the maximum period for resolution, imposed by Article 37.2c) of the LDC, which was lifted on August 6, 2012, resuming from that day the counting of the period for issuing a Resolution.</w:t>
      </w:r>
    </w:p>
    <w:p>
      <w:r>
        <w:t>35. By Agreement of the Council of October 31, 2012, a request for information necessary for the resolution of the file was made, suspending the resolution period. After receiving the last letter on November 16, 2012, the counting of the period for resolving the file was resumed effective November 17, 2012.</w:t>
      </w:r>
    </w:p>
    <w:p>
      <w:r>
        <w:t>36. The Council completed its deliberation and resolved on this file in its session of November 28, 2012.</w:t>
      </w:r>
    </w:p>
    <w:p>
      <w:r>
        <w:t>37. The interested parties in this file are,</w:t>
        <w:br/>
        <w:t>− C.R. of the D.O. Valdepeñas. (INTERVALDEPEÑAS).</w:t>
        <w:br/>
        <w:t>− Regional Association of Wine Entrepreneurs of the production and aging areas of the D.O. Valdepeñas. (ASEVIVALDEPEÑAS).</w:t>
        <w:br/>
        <w:t>− Group of Master Winemakers of Valdepeñas (AMBV)</w:t>
        <w:br/>
        <w:t>− Regional Association of Wine Entrepreneurs of Castilla la Mancha (ASEVICAMAN).</w:t>
      </w:r>
    </w:p>
    <w:p>
      <w:r>
        <w:t>PROVEN FACTS</w:t>
        <w:br/>
        <w:t>A) THE PARTIES</w:t>
        <w:br/>
        <w:t>Below is a brief description of the entities that have been initiated in the present sanctioning file, some of which have changed their name or have integrated into other organizations during the period under investigation by the CNC.</w:t>
      </w:r>
    </w:p>
    <w:p>
      <w:r>
        <w:t>REGULATORY COUNCIL OF THE DENOMINATION OF ORIGIN VALDEPEÑAS (CURRENTLY, INTERPROFESSIONAL OF THE DENOMINATION OF ORIGIN WINE "VALDEPEÑAS") (“INTERVALDEPEÑAS”).</w:t>
        <w:br/>
        <w:t>1. The Regulatory Council of the Denomination of Origin "Valdepeñas" was the body responsible for applying the Regulation of the Denomination of Origin Valdepeñas (Order of March 14, 1995, which ratifies the Regulation of the Denomination of Origin "Valdepeñas" and its Regulatory Council) and ensuring its compliance.</w:t>
      </w:r>
    </w:p>
    <w:p>
      <w:r>
        <w:t>2. The Interprofessional of the Denomination of Origin Wine "Valdepeñas" (INTERVALDEPEÑAS) was recognized as an interprofessional agri-food organization by the Ministry of Agriculture and Rural Development of the Junta de Castilla La Mancha in its Resolution of September 29, 2009 (effective December 1, 2009), based on the provision made in section 2 of the transitional provision of Law 8/2003, of March 20, on Vine and Wine of Castilla-La Mancha.</w:t>
      </w:r>
    </w:p>
    <w:p>
      <w:r>
        <w:t>3. INTERVALDEPEÑAS has its own legal personality independent of its associated members and full capacity to act for the fulfillment of its purposes, lacking profit motive (Article 3 of the Statutes) and is made up of Associations either from the autonomous scope of Castilla-La Mancha or from the territorial scope of the Production and Aging Zone of the Wine with Denomination of Origin "Valdepeñas," and located in the</w:t>
      </w:r>
    </w:p>
    <w:p>
      <w:r>
        <w:rPr>
          <w:b/>
        </w:rPr>
        <w:t>[Pages 10–12]</w:t>
      </w:r>
    </w:p>
    <w:p>
      <w:r>
        <w:t xml:space="preserve">de precios”. </w:t>
        <w:br/>
        <w:t>18. En consecuencia, la normativa aplicable al sector vitivinícola de Castilla-La Mancha y a las Denominaciones de Origen “Valdepeñas” y “La Mancha” no permite la fijación de precios por parte de los operadores del mercado, ya que esto contravendría las normas de competencia establecidas en el Tratado y en la normativa comunitaria.</w:t>
      </w:r>
    </w:p>
    <w:p>
      <w:r>
        <w:rPr>
          <w:b/>
        </w:rPr>
        <w:t>[Pages 13–15]</w:t>
      </w:r>
    </w:p>
    <w:p>
      <w:r>
        <w:t>de precios, even on an indicative or recommended basis," in parallel to the aforementioned Article 113 quater. Likewise, Council Regulation (EC) No 1184/2006 of July 24, 2006, on the application of certain competition rules to the production and marketing of certain agricultural products, provided in its Article 1 for the general application of competition rules to agricultural products, and within the exceptions to such application, price agreements were also not permissible, as it expressly excluded from such exception agreements that imposed the obligation to apply a specific price.</w:t>
      </w:r>
    </w:p>
    <w:p>
      <w:r>
        <w:t>18. The applicable state regulation is Law 24/2003, of July 10, on Vine and Wine, whose purpose is the basic regulation, within the framework of European Union legislation, of vine and wine. This Law covers general aspects of viticulture, the protection of the origin and quality of wines, the sanctioning regime, and the Spanish Council of Viticulture.</w:t>
      </w:r>
    </w:p>
    <w:p>
      <w:r>
        <w:t>19. And at the regional level, Law 8/2003, of March 20, on Vine and Wine of Castilla-La Mancha.</w:t>
      </w:r>
    </w:p>
    <w:p>
      <w:r>
        <w:t>20. Finally, in relation to the designations of origin "Valdepeñas" and "La Mancha": a) the Order of the Ministry of Agriculture, Fisheries and Food of March 14, 1995, which ratifies the Regulation of the Designation of Origin "Valdepeñas" and its Regulatory Council. And Order ARM/500/2009, of January 28, which publishes two orders from the Ministry of Agriculture of the Junta de Comunidades de Castilla-La Mancha modifying an Order of February 1, 2006, which establishes the production rules and regulates other characteristics or conditions of the wines of the Designation of Origin "Valdepeñas"; b) the Regulation of the Designation of Origin "La Mancha" and its Regulatory Council, which was ratified by Order of the Ministry of Agriculture, Fisheries and Food dated November 22, 1996. Likewise, Order ARM/345/2009, of January 21, publishes two orders from the Ministry of Agriculture of the Junta de Comunidades de Castilla-La Mancha modifying the Order of February 1, 2006, which establishes the production rules and regulates other characteristics or conditions of the wines of the Designation of Origin "La Mancha".</w:t>
      </w:r>
    </w:p>
    <w:p>
      <w:r>
        <w:t>Product Market</w:t>
      </w:r>
    </w:p>
    <w:p>
      <w:r>
        <w:t>21. The affected product market is that of grapes from the wine region of Castilla-La Mancha, specifically the grapes from the Designation of Origin "Valdepeñas" and the Designation of Origin "La Mancha".</w:t>
      </w:r>
    </w:p>
    <w:p>
      <w:r>
        <w:t>22. Castilla-La Mancha is the largest wine region in the world by vineyard area; it accounts for 7% of the world's vineyards, 14% of the European, and 49% of the Spanish. In 2010, it reached just over 490,000 hectares. Within this region, there is a wide range of grape varieties, both white and red, although the airén and tempranillo varieties predominate. White varieties account for 55% and red varieties for 45% of the total territory. Airén is the most widespread indigenous white variety, making up 48% of the regional vineyard. Within this group, macabeo (or viura) and verdejo are also significant. Among the indigenous red varieties, the tempranillo variety (also called cencibel) accounts for 16% of the region's vineyard.</w:t>
      </w:r>
    </w:p>
    <w:p>
      <w:r>
        <w:t>23. In the Autonomous Community of Castilla-La Mancha, there are 17 recognized Protected Designations of Origin (8 of which are Pagos) and 1 Protected Geographical Indication. The Designations of Origin are: Valdepeñas, Jumilla, La Mancha, Manchuela, Almansa, Ribera de Júcar, Mondéjar, Méntrida, and Uclés.</w:t>
      </w:r>
    </w:p>
    <w:p>
      <w:r>
        <w:t>24. For the production of wines with the Designation of Origin "La Mancha," the following grape varieties are used: white (Airén, Viura or Macabeo, Chardonnay, Sauvignon Blanc, Muscat of small grain, and Verdejo) and red (Moravia dulce, Garnacha tinta, Cencibel or Tempranillo, Cabernet Sauvignon, Merlot, Syrah, and Petit Verdot).</w:t>
      </w:r>
    </w:p>
    <w:p>
      <w:r>
        <w:t>25. For the production of wines with the Designation of Origin "Valdepeñas," the following grape varieties are used: white (Airén, Macabeo or Viura, Chardonnay, Sauvignon Blanc, Muscat of small grain, and Verdejo) and red (Cencibel or Tempranillo, Garnacha, Cabernet Sauvignon, Merlot, Syrah, and Petit Verdot). It is noteworthy that the Cencibel variety occupies more than 80% of the area of red varieties. The wineries of the Designation of Origin "Valdepeñas" are those located in the production area where grapes from registered vineyards are vinified.</w:t>
      </w:r>
    </w:p>
    <w:p>
      <w:r>
        <w:t>26. In 2010, the total volume of wine exported by Castilla-La Mancha reached 51% of Spanish wine exports. This volume means that 47% of wine production in Castilla-La Mancha is destined for export. The destination countries are mainly in Europe (Italy 55.02%, France 15.29%, Germany 9.31%, Netherlands 8.56%).</w:t>
      </w:r>
    </w:p>
    <w:p>
      <w:r>
        <w:t>27. Regarding the Designation of Origin "Valdepeñas," the export of bottled wine accounted for 39.27% in 2010 of the total production of this Designation ("Report of the Interprofessional Association of the D.O. Vitivinícola Valdepeñas-Year 2010"). In the Designation of Origin "La Mancha," it accounted for 59% in 2010 (www.lamanchawines.com). The destination of these wines is primarily Europe.</w:t>
      </w:r>
    </w:p>
    <w:p>
      <w:r>
        <w:t>28. As for the supply of grapes, the main raw material for wine, it comes from farmers who cultivate their product in the vineyards of Castilla-La Mancha and, specifically, in the production areas of the Designations of Origin "Valdepeñas" and "La Mancha."</w:t>
      </w:r>
    </w:p>
    <w:p>
      <w:r>
        <w:t>29. The grape harvest usually begins in August and ends in October. Farmers collect the grapes and transport them to the winery or cooperative that will produce the wine. Wineries publish prices, usually by displaying price tables in their own facilities, commonly known as "tablillas." Also, in small wineries, verbal agreements are reached with farmers who will supply the grapes without the need for price publication. Normally, farmers sell their grapes to local wineries since the quality of the grapes could be affected by transportation.</w:t>
      </w:r>
    </w:p>
    <w:p>
      <w:r>
        <w:t>30. The demand for grapes generally comes from wineries and cooperatives for the production of wines with grapes harvested in the lands of Castilla-La Mancha. Once wineries publish the purchase price list for the different grape varieties (through the aforementioned tablilla), they receive the product, transported by the same producers, at their facilities, evaluate its quality, and proceed to its immediate transformation.</w:t>
      </w:r>
    </w:p>
    <w:p>
      <w:r>
        <w:t>31. Grapes covered by a Designation of Origin have a higher price than those that are not - land wines or grapes dedicated to "table wine." There are several physiological parameters to assess the quality of the grapes, which are analyzed by the technicians of the wineries: pH, total acidity, and Baumé degree (which basically measures sugar concentration). Normally, the price of grapes is expressed in "euros per kilogram," that is, it is paid based on the level of alcohol present in the grapes. For example, 0.017€/kgdo means that grapes with an alcohol content of 13º will be paid at 0.017 X 13, that is, 0.221 euros per kilogram of product.</w:t>
      </w:r>
    </w:p>
    <w:p>
      <w:r>
        <w:t>Geographical Market</w:t>
      </w:r>
    </w:p>
    <w:p>
      <w:r>
        <w:t>32. Commonly referred to as "Grape of Castilla-La Mancha" is that which is harvested throughout the territory of the Autonomous Community of Castilla-La Mancha, regardless of whether it belongs to a recognized Designation of Origin or another geographical indication. This file primarily affects the grapes with the Designation of Origin "Valdepeñas" but also those covered by the Designation of Origin "La Mancha."</w:t>
      </w:r>
    </w:p>
    <w:p>
      <w:r>
        <w:t>33. Both the European Commission and the National Competition Commission, when analyzing the markets for the production and marketing of wine, have defined the geographical dimension as national, due to differences in consumption habits, logistics, distribution channels, marketing, taxation, and legislation in each country (COMP/M.5114 Pernod/Ricard and C-0262/10 DIEGO ZAMORA/AMBROSIO VELASCO).</w:t>
      </w:r>
    </w:p>
    <w:p>
      <w:r>
        <w:t>34. In relation to the designations of origin within which the analyzed practices are framed, the area that the Designation of Origin "Valdepeñas" comprises is made up of lands located in the municipalities of Valdepeñas, Santa Cruz de Mudela, Moral de Calatrava, Alcubillas, San Carlos del Valle, Torre-Nueva, and parts of these municipalities: Alhambra, Granátula de Calatrava, Montiel, and Torre de Juan Abad.</w:t>
      </w:r>
    </w:p>
    <w:p>
      <w:r>
        <w:t>35. The viticultural area of the Designation of Origin "La Mancha" extends across numerous municipalities in the provinces of Castilla-La Mancha.</w:t>
      </w:r>
    </w:p>
    <w:p>
      <w:r>
        <w:rPr>
          <w:b/>
        </w:rPr>
        <w:t>[Pages 16–18]</w:t>
      </w:r>
    </w:p>
    <w:p>
      <w:r>
        <w:t xml:space="preserve">C. ESTABLISHED FACTS  </w:t>
        <w:br/>
        <w:t xml:space="preserve">According to the Report and Proposal for Resolution, the Council considers the information collected below, obtained during inspections carried out at ASEVIVALDEPEÑAS, INTERVALDEPEÑAS, and at the wineries Félix Solís Avantis, S.A. and Miguel Calatayud, S.A., as proven and relevant for the resolution of this file, as well as the information provided by the parties at the request of the DI.  </w:t>
        <w:br/>
        <w:t xml:space="preserve">− "Strategic Plan for the Reorganization of the D.O. Vino de Valdepeñas" working document.  </w:t>
        <w:br/>
        <w:t xml:space="preserve">36. In the inspection dated March 2, 2011, carried out by the DI at the headquarters of Bodegas Miguel Calatayud, the working document titled "Strategic Plan for the Reorganization of the D.O. Vino de Valdepeñas," dated July 21, 2004 (folios 1454 to 1479), was found. It states that the authorship belongs to Price Waterhouse Coopers, and on each of the covers that begin each of the chapters into which it is divided, the logo of the "Regulatory Council of the Denomination of Origin 'Valdepeñas'" appears.  </w:t>
        <w:br/>
        <w:t xml:space="preserve">37. The strategic plan outlines the foundations and objectives that should mark the immediate future of the sectors involved in the Denomination of Origin and their actions, constituting a general strategic framework for all interest groups involved in the Denomination of Origin "Valdepeñas" for the period 2005-2008.  </w:t>
        <w:br/>
        <w:t xml:space="preserve">38. It is divided into chapters, of which the most important in relation to the instruction of this file are those titled: (i) "5th Working Session – Strategic Formulation" (folios 1454 to 1456), (ii) "Formulation of the Strategy" (folios 1458 to 1463), and (iii) "Action Plans" (folios 1464 to 1472).  </w:t>
        <w:br/>
        <w:t xml:space="preserve">39. The chapter "5th Working Session – Strategic Formulation" presents on page 5 (folio 1455), within the section "Conceptual Definition of Strategic Lines," a mention of "Price Policy."  </w:t>
        <w:br/>
        <w:t xml:space="preserve">40. In the chapter "Formulation of the Strategy" (folio 1460), the following is established:  </w:t>
        <w:br/>
        <w:t xml:space="preserve">"After the study conducted on the current situation of the D.O. Valdepeñas, it is concluded that it is necessary to establish a series of agreements between the productive sectors (winegrowers and producers) involved to ensure the stability of the D.O. and compliance with the Strategic Plan.  </w:t>
        <w:br/>
        <w:t xml:space="preserve">Therefore, we recommend the development of commitments between both sectors to promote consensus among them. These commitments should address various aspects of interest for the maintenance and growth of the D.O. Valdepeñas:  </w:t>
        <w:br/>
        <w:t xml:space="preserve">- Ensure the stability of raw material prices in the upcoming campaigns (2005-2008)  </w:t>
        <w:br/>
        <w:t xml:space="preserve">- (…)  </w:t>
        <w:br/>
        <w:t xml:space="preserve">These commitments will be documented and signed by the parties involved, establishing the necessary mechanisms for their monitoring, oversight, and control."  </w:t>
        <w:br/>
        <w:t xml:space="preserve">41. In that same chapter (folio 1461), what constitutes an agreement on price policy is defined, and it is determined that price bands agreed upon between the sectors must be defined:  </w:t>
        <w:br/>
        <w:t xml:space="preserve">"An agreement on the price policy of the products of the D.O. Valdepeñas implies:  </w:t>
        <w:br/>
        <w:t xml:space="preserve"> Stability of the raw material price in the campaigns included in the agreement (2005-2008).  </w:t>
        <w:br/>
        <w:t xml:space="preserve"> Maintenance of the price of the finished product in the short term.  </w:t>
        <w:br/>
        <w:t xml:space="preserve"> Definition of price bands agreed upon between the sectors and establishment of action margins (premiums or reductions in the product price according to quality levels achieved).  </w:t>
        <w:br/>
        <w:t xml:space="preserve"> Definition of minimum requirements regarding quantities, qualities, and prices.  </w:t>
        <w:br/>
        <w:t xml:space="preserve"> Equitable distribution of the efforts to be made in achieving the increase in the quality of the products.  </w:t>
        <w:br/>
        <w:t xml:space="preserve"> Stability in the D.O.  </w:t>
        <w:br/>
        <w:t xml:space="preserve"> Establishment of compliance guarantees:  </w:t>
        <w:br/>
        <w:t xml:space="preserve"> Clearly limiting the obligations of each party.  </w:t>
        <w:br/>
        <w:t xml:space="preserve"> Determining the decision-making bodies in case of disagreement and the sanctioning mechanisms for non-compliance.  </w:t>
        <w:br/>
        <w:t xml:space="preserve"> Definition of force majeure causes that prevent compliance with the commitments."  </w:t>
        <w:br/>
        <w:t xml:space="preserve">42. On the next page of the document (folio 1462), in order to avoid the generation of product surpluses in each campaign, a series of agreements between the producing sector and the producer/marketer is again advised to adapt the supply to actual demand.  </w:t>
        <w:br/>
        <w:t xml:space="preserve">43. In the chapter "Action Plans," the so-called "Stability Plan" is developed through sheets, which, among other actions, includes an agreement on price policy. On folio 1467, the sheet for the Stability Plan action is described. Ensuring price stability is classified as a high priority, and the responsibility for carrying out this Plan falls "on the Steering Committee of the Interprofessional Table, as a representative of both sectors and must act in direct coordination with the various associations (agricultural and business) that are part of said Table."  </w:t>
        <w:br/>
        <w:t xml:space="preserve">44. Subsequently, the phases of the actions are specified (folios 1470 to 1472). The defined time frame for an agreement on price policy is two months, it will be reflected in a standard contract homologated for 3-5 years and will include, among other issues, prices and payment conditions (premiums will be established for the payment of grapes according to defined quality criteria), the establishment of price bands within which the market (grape/wine) should fluctuate, the ways to resolve disputes in the interpretation or execution of the contract, and the powers of the Monitoring Commission, among which must be highlighted the monitoring, promotion, oversight, and control of the contract.  </w:t>
        <w:br/>
        <w:t xml:space="preserve">45. Regarding the composition of this Monitoring Commission, it must have a representative character and equal composition between the contracting parties (folio 1470).  </w:t>
        <w:br/>
        <w:t xml:space="preserve">46. In a letter dated December 27, 2011 (folios 2326 to 2329), INTERVALDEPEÑAS asserts the following about the authorship of the Strategic Plan mentioned above:  </w:t>
        <w:br/>
        <w:t xml:space="preserve">“(…) this report was neither commissioned by the defunct Regulatory Council nor was it listed as a recipient. In this sense, there is no documentary evidence that could indicate otherwise (budgets, invoices, payments, emails, etc.).  </w:t>
        <w:br/>
        <w:t xml:space="preserve">Therefore, this party offers access to the Directorate of Investigation to all accounting records of the defunct Regulatory Council that may still exist in the Interprofessional Association as well as to the company responsible for the audit of the defunct Regulatory Council regarding the alleged period in which this report could have been prepared.  </w:t>
        <w:br/>
        <w:t xml:space="preserve">According to what was reported during the meeting that representatives of the Interprofessional Association and the undersigned held with the Instruction Team of this file on November 8 at the headquarters of the CNC, the Working Document of Pricewaterhouse regarding a possible Strategic Plan for the period 2004-2010 may have been proposed by this consultancy to the Junta de Comunidades de Castilla La Mancha itself or to an association that has been inactive for many years called the Interprofessional Federation of Winegrowers of the D.O. Valdepeñas. This Interprofessional Association has no record of meetings being held by that Federation in recent years.  </w:t>
        <w:br/>
        <w:t xml:space="preserve">Also, as Mr. xxx recalls, there were indeed other studies commissioned by the Junta de Comunidades de Castilla La Mancha at that time, but never commissioned by the former Regulatory Council.”  </w:t>
        <w:br/>
        <w:t>− Reports of the Regulatory Council of the Denomination of Origin Valdepeñas for the years 2008 and 2009.</w:t>
      </w:r>
    </w:p>
    <w:p>
      <w:r>
        <w:rPr>
          <w:b/>
        </w:rPr>
        <w:t>[Pages 19–21]</w:t>
      </w:r>
    </w:p>
    <w:p>
      <w:r>
        <w:t>tintas es el que se ha acordado, hay bodegas que no están dispuestas a pagar ese precio y están ofreciendo menos. La situación es tensa y se espera que en los próximos días se llegue a un acuerdo definitivo. Les mantendré informados sobre cualquier novedad.</w:t>
      </w:r>
    </w:p>
    <w:p>
      <w:r>
        <w:t>-Cordiales saludos, Secretario General “ASEVICAMAN”.</w:t>
      </w:r>
    </w:p>
    <w:p>
      <w:r>
        <w:rPr>
          <w:b/>
        </w:rPr>
        <w:t>[Pages 22–24]</w:t>
      </w:r>
    </w:p>
    <w:p>
      <w:r>
        <w:t>for red grapes is already set on several boards, the vast majority of grape buyers say they are not willing to pay that price and there is talk of setting 1.75 or 1.80 on the rest of the boards. For now, there is no agreement, but in a few days I expect boards below the price that exists today. What price will be the definitive one? That is the great unknown. And in the meantime, the wines without a price, no one dares to buy or sell in such uncertainty."</w:t>
      </w:r>
    </w:p>
    <w:p>
      <w:r>
        <w:t>Best regards, Secretary General "ASEVICAMAN."</w:t>
      </w:r>
    </w:p>
    <w:p>
      <w:r>
        <w:t>55. The following Circular from ASEVICAMAN is titled "Prices in Castilla La Mancha? New Hypotheses, as of 10/September/2009. Lack of Unanimity in Grape Prices. Political Prices/Dominant Positions?" This new Circular No. 035/09, dated September 11, 2011, has no content as it simply includes the publication "El Correo del Vino" dated September 10, 2009, which consists of 12 pages (folios 2042 to 2052). It is worth highlighting the text on the cover of this Bulletin: "The Grape, between 1.80 and 2.15 pts. Degree/kilo."</w:t>
      </w:r>
    </w:p>
    <w:p>
      <w:r>
        <w:t>− Emails from September 2009 regarding the price of grapes from the D.O. Valdepeñas for the 2009-2010 campaign, among members of ASEVIVALDEPEÑAS and with AMBV.</w:t>
      </w:r>
    </w:p>
    <w:p>
      <w:r>
        <w:t>56. On September 7, 2009, the Purchasing and Estates Director of the winery Félix Solís, S.A., a member of ASEVIVALDEPEÑAS, sends an email addressed to several wineries of ASEVIVALDEPEÑAS (Bodegas Fernando Castro, J. García Carrión, and Bodegas Navarro López) and also to the financial service of the winery for which he works, Félix Solís, S.A., a winery that at that moment held the presidency of the association. This email is also sent with a copy to the President of AMBV (D. XXX; xxx@vegaval.com). The subject of the email is "Boards 09." The content of the email is transcribed below (folio 1445):</w:t>
      </w:r>
    </w:p>
    <w:p>
      <w:r>
        <w:t>"Dear colleagues:</w:t>
      </w:r>
    </w:p>
    <w:p>
      <w:r>
        <w:t>Regarding the information that has appeared since Saturday about grape prices, I indicate that they are not correct as the calculation basis for obtaining the prices does not take into account (as in the last two years) the issue of transportation which in Mancha is included in the price; however, to clarify this it is advisable that we meet and analyze it, I will let you know if we can get together next Wednesday the 9th.</w:t>
      </w:r>
    </w:p>
    <w:p>
      <w:r>
        <w:t>If the price in Mancha of 2.15 Pts/Kilogram is generalized, the result would be as I indicate in the attached file.</w:t>
      </w:r>
    </w:p>
    <w:p>
      <w:r>
        <w:t>Regards, and I will call you to meet."</w:t>
      </w:r>
    </w:p>
    <w:p>
      <w:r>
        <w:t>57. In that email of September 7, 2009, an Excel sheet is attached containing two tables with calculations on the price of red and white grapes in the Denomination of Origin Valdepeñas (folio 1448) with and without transportation. The following tables are transcribed:</w:t>
      </w:r>
    </w:p>
    <w:p>
      <w:r>
        <w:t>58. According to the explanations from the representative of Félix Solís Avantis, S.A. (folios 2670 to 2672), the "reference price" is the average price of grapes from the Denomination of Origin "La Mancha" that serves as the basis for the valuation of grapes in the Denomination of Origin "Valdepeñas." This reference price is broken down in the previous boards into a price per kilogram, a transportation premium, and an average stipulated degree that allows calculating with that degree the conversion to pesetas/kilogram transportation giving a final price in kilograms. When referring to "D.O. Valdepeñas price," the same scheme is followed, but with the base price of grapes pts/kilogram increased by a percentage (+11% for white grapes and +28% for red).</w:t>
      </w:r>
    </w:p>
    <w:p>
      <w:r>
        <w:t>59. The winery Miguel Calatayud is also a recipient of this email of September 7, 2009 in the "Cc:" (with copy) option. Approximately three hours after the time of sending to the winery Miguel Calatayud, from the email of this winery, another email is sent forwarding the received one in its entirety, including the attached file (Excel table) and with the following text (folio 1445):</w:t>
      </w:r>
    </w:p>
    <w:p>
      <w:r>
        <w:t>"Good morning,</w:t>
      </w:r>
    </w:p>
    <w:p>
      <w:r>
        <w:t>Attached I am sending the received email regarding the price of grapes.</w:t>
      </w:r>
    </w:p>
    <w:p>
      <w:r>
        <w:t>Regards,</w:t>
      </w:r>
    </w:p>
    <w:p>
      <w:r>
        <w:t>XXX"</w:t>
      </w:r>
    </w:p>
    <w:p>
      <w:r>
        <w:t>The email is signed by XXX, President of AMBV. The recipients of this email are the following wineries belonging to Maestros Bodegueros: Bodegas Antonio Cañaveras; Bodegas Arúspide; Bodegas Galán; Bodegas J Ramírez; Bodegas López Romero; Bodegas Los Marcos; Bodegas Márquez; Cabovasa (Canuto Bodegas de Valdepeñas); J. Antonio Mejía e Hijos; Mercantil Marín Perona; Viñedos y Bodegas Visán.</w:t>
      </w:r>
    </w:p>
    <w:p>
      <w:r>
        <w:t>60. On September 21, 2009, the Purchasing and Estates Director of Félix Solís, S.A., sends an email attaching the board that they will put in their winery/wineries on that same day (folios 1449 and 1450). Its recipients are the wineries of ASEVIVALDEPEÑAS, Bodegas Navarro López; Bodegas Fernando Castro; Bodegas Espinosa, and also the financial service itself. Additionally, the winery Miguel Calatayud is also a recipient in copy:</w:t>
      </w:r>
    </w:p>
    <w:p>
      <w:r>
        <w:t>"Dear colleagues:</w:t>
      </w:r>
    </w:p>
    <w:p>
      <w:r>
        <w:t>As we discussed yesterday by phone, I am sending you the board that we will put today.</w:t>
      </w:r>
    </w:p>
    <w:p>
      <w:r>
        <w:t>XX; I do not have your mobile phone, call me and I will comment (phone XXXX)</w:t>
      </w:r>
    </w:p>
    <w:p>
      <w:r>
        <w:t>Best regards,"</w:t>
      </w:r>
    </w:p>
    <w:p>
      <w:r>
        <w:t>61. Furthermore, in that email, the following attached table is sent:</w:t>
      </w:r>
    </w:p>
    <w:p>
      <w:r>
        <w:t>62. The table considers as the base price for the calculation 2.15 pts/kilogram (average price in the D.O. "La Mancha" for white and red grapes) increasing it by 11% and 28% to reach the value of white and red grapes respectively in the D.O. "Valdepeñas" according to the explanation from the representative of Félix Solís Avantis, S.A. (folios 2670 to 2672). In the right column appears what is paid separately by type of grape in terms of transportation.</w:t>
      </w:r>
    </w:p>
    <w:p>
      <w:r>
        <w:t>63. On the same September 21, 2011, but two hours after the previous email, the President and CEO of Félix Solís, S.A. (President of ASEVIVALDEPEÑAS), sends an email to D. XXX (Vice President of ASEVIVALDEPEÑAS), of the company J García Carrión S.A. (folios 1451 to 1453), with some attached tables. The text of the message and the content of the tables are transcribed below:</w:t>
      </w:r>
    </w:p>
    <w:p>
      <w:r>
        <w:t>"Dear X:</w:t>
      </w:r>
    </w:p>
    <w:p>
      <w:r>
        <w:t>I am sending you the price board that today we are putting in the wineries we have in the D.O. Valdepeñas, having taken in your company the unilateral decision against the Asevivaldepeñas association, to accept the prices that were published and that are not correct, we have no other option but to set the prices that you reflect in the boards."</w:t>
      </w:r>
    </w:p>
    <w:p>
      <w:r>
        <w:rPr>
          <w:b/>
        </w:rPr>
        <w:t>[Pages 25–27]</w:t>
      </w:r>
    </w:p>
    <w:p>
      <w:r>
        <w:t>of the decrease of fifteen percent, we would be in a position to maintain the competitiveness of our products. This means that the volumes and values of raw materials from the previous campaign would be transferred equivalently to the current campaign, which is an achievement considering that we have reduced our international pricing by fifteen percent. If we have lowered that fifteen percent and we aim to maintain order, I insist, and always speaking generically about the scenario, the rates from the past harvest, we are practicing responsibility, professionalism, and, above all, demonstrating the genuine and inherent interest we have in the Spanish vineyard, in the Castilian-Manchego vineyard, in the Valdepeñas vineyard..." (minutes 0:03:50 to 0:08:37 of the DVD provided by Televaldepeñas).</w:t>
      </w:r>
    </w:p>
    <w:p>
      <w:r>
        <w:t>"(...) The average is 1.71. 2.04 last year. It drops by fifteen percent. That fifteen percent in a normal profit and loss account should obviously be reflected in the production when making our purchases, because if we are being paid fifteen percent less, we should pay fifteen percent less, but that is based on a depoliticized logic and purely on accounts of income and expenses. Well, if ASEVICAMAN and ASEVIVALDEPEÑAS estimate maintaining the same levels as last year despite the fifteen percent drop, despite..."</w:t>
      </w:r>
    </w:p>
    <w:p>
      <w:r>
        <w:rPr>
          <w:b/>
        </w:rPr>
        <w:t>[Pages 28–30]</w:t>
      </w:r>
    </w:p>
    <w:p>
      <w:r>
        <w:t>from Valdepeñas was exported, with the European Union being the main market for these wines.</w:t>
      </w:r>
    </w:p>
    <w:p>
      <w:r>
        <w:t>70. In light of the above, it is evident that the practices under investigation have the potential to affect trade between Member States, as they relate to the pricing of grapes for wine production in the Denominations of Origin Valdepeñas and La Mancha. The Council must therefore determine whether the actions of the associations involved constitute a very serious infringement of Article 1 of the LDC and Article 101 of the TFEU, based on the evidence presented and the applicable legal framework.</w:t>
      </w:r>
    </w:p>
    <w:p>
      <w:r>
        <w:t>SECOND.- Legal grounds for the resolution.</w:t>
        <w:br/>
        <w:t>The Council, in accordance with the Proposal for Resolution submitted by the DI, will assess the evidence and arguments presented by the parties, including the justifications provided by ASEVIVALDEPEÑAS regarding the application of Article 101 of the Treaty. The Council will also consider the implications of the practices in question on competition within the internal market and the potential impact on trade between Member States, as outlined in the relevant legal provisions.</w:t>
      </w:r>
    </w:p>
    <w:p>
      <w:r>
        <w:t>THIRD.- Conclusion.</w:t>
        <w:br/>
        <w:t>The Council will issue a resolution based on the findings of the investigation, taking into account the legal standards applicable to the case and the evidence gathered. The resolution will address the responsibility of the associations involved and the potential sanctions for any infringement of competition law.</w:t>
      </w:r>
    </w:p>
    <w:p>
      <w:r>
        <w:rPr>
          <w:b/>
        </w:rPr>
        <w:t>[Pages 31–33]</w:t>
      </w:r>
    </w:p>
    <w:p>
      <w:r>
        <w:t>the bottled wine of the D.O. Valdepeñas was exported and 59% of the D.O. La Mancha, marketed mainly in the countries of the European Union (HP 27). Therefore, the investigated behaviors, insofar as they affect the raw material of a product marketed in a high proportion in countries of the European Union, are likely to appreciably affect trade between Member States and therefore, are subject to and must be applied the Community regulations.</w:t>
      </w:r>
    </w:p>
    <w:p>
      <w:r>
        <w:t xml:space="preserve">SECOND.- Imputation of the Directorate of Investigation and allegations of the parties.  </w:t>
        <w:br/>
        <w:t xml:space="preserve">In its Report and Proposal for Resolution, the DI proposes to the Council the following:  </w:t>
        <w:br/>
        <w:t xml:space="preserve">"First. That the existence of prohibited behaviors under Article 1 of the LDC, as well as Article 101 of the TFEU, be declared, consisting of:  </w:t>
        <w:br/>
        <w:t xml:space="preserve">• An agreement within ASEVIVALDEPEÑAS for the fixing of the purchase price of grapes for the production of wine covered by the Denomination of Origin "Valdepeñas" in the 2009/2010 campaign.  </w:t>
        <w:br/>
        <w:t xml:space="preserve">• An exchange of information between ASEVIVALDEPEÑAS and AMBV regarding the purchase price of grapes for the production of wine covered by the Denomination of Origin "Valdepeñas" in the 2009/2010 campaign.  </w:t>
        <w:br/>
        <w:t xml:space="preserve">• A collective recommendation from ASEVICAMAN regarding the purchase price of grapes for the production of wine covered by the Denomination of Origin "Valdepeñas" and by the Denomination of Origin "La Mancha" made in the 2009/2010 campaign.  </w:t>
        <w:br/>
        <w:t xml:space="preserve">• A collective recommendation from ASEVIVAMAN and ASEVIVALDEPEÑAS regarding the purchase price of grapes for the production of wine covered by the Denomination of Origin "Valdepeñas" and of grapes produced in Castilla-La Mancha, made on September 10, 2010.  </w:t>
        <w:br/>
        <w:t xml:space="preserve">Second. That the following be declared responsible for these infringements:  </w:t>
        <w:br/>
        <w:t xml:space="preserve">• ASEVIVALDEPEÑAS for the infringements relating to: i) an agreement on the purchase prices of grapes for the production of wine covered by the Denomination of Origin "Valdepeñas" in the 2009/2010 campaign, ii) an exchange of information regarding the purchase price of grapes for the production of wine covered by the Denomination of Origin "Valdepeñas" in the 2009/2010 campaign, and iii) a collective recommendation regarding the purchase price of grapes for the production of wine covered by the Denomination of Origin "Valdepeñas" and of grapes produced in Castilla-La Mancha, made on September 10, 2010.  </w:t>
        <w:br/>
        <w:t xml:space="preserve">• AMBV for the infringement relating to an exchange of information regarding the purchase price of grapes for the production of wine covered by the Denomination of Origin "Valdepeñas" in the 2009/2010 campaign.  </w:t>
        <w:br/>
        <w:t xml:space="preserve">• ASEVICAMAN for the infringements relating to: i) a collective recommendation regarding the purchase price of grapes for the production of wine covered by the Denomination of Origin "Valdepeñas" and by the Denomination of Origin "La Mancha" made in the 2009/2010 campaign and ii) a collective recommendation regarding the purchase price of grapes for the production of wine covered by the Denomination of Origin "Valdepeñas" and of grapes produced in Castilla-La Mancha, made on September 10, 2010.  </w:t>
        <w:br/>
        <w:t xml:space="preserve">[...]  </w:t>
        <w:br/>
        <w:t xml:space="preserve">It is also PROPOSED:  </w:t>
        <w:br/>
        <w:t xml:space="preserve">That the non-existence of prohibited behaviors under Article 1 of Law 15/2007, as well as Article 101 of the TCE, carried out by INTERVALDEPEÑAS, be declared, as the responsibility of INTERVALDEPEÑAS in the infringement consisting of a possible agreement on the price of grapes within the framework of the Denomination of Origin "Valdepeñas" between the years 2005 and 2009 has not been proven."  </w:t>
        <w:br/>
        <w:t xml:space="preserve">The parties alleged whatever was legally convenient for them and specifically, AMB does not make new allegations, fully ratifying those made to the PCH, requesting the file of the proceedings.  </w:t>
        <w:br/>
        <w:t xml:space="preserve">ASEVICAMAN, reaffirming all the factual and legitimacy elements it presented in the instruction phase, reiterates the harmlessness of its actions in facilitating official statistics, with no anti-competitive effects of any kind, which it claims cannot constitute a collective recommendation, since the circulars (year 2009) were mere reproductions of publications and regarding the imputation of collective recommendation in the press conference of the Secretary General in September 2010, it argues that the audio should be listened to in order to verify that it contains nothing that could be considered anti-competitive and recalls that the DI itself in the IPR (paragraph 143), highlights the existence of pro-competitive references in it. This Association requested a Hearing for any clarifications that may be necessary. The Council, in accordance with the provisions of Article 51.3 of the LDC, did not consider it necessary to hold a Hearing for the formation of its judgment.  </w:t>
        <w:br/>
        <w:t xml:space="preserve">ASEVIVALDEPEÑAS is the association that makes broader allegations, which can be summarized as follows:  </w:t>
        <w:br/>
        <w:t xml:space="preserve">a) It denies that an agreement was reached within the association for the fixing of the price of grapes, and for this, it relies on the following facts: 1) the information sent in the emails dated September 7 and 21, was about prices previously published on September 3 and 5 (HP 49 to 52) and what it attempted was to clarify the basis for the calculation of the already published prices; 2) that the dates of the emails are after the start of the campaign which, as the DI itself states, begins in August, a date when they already set the price lists; 3) referring to its statements in the Extraordinary General Assembly of the Interprofessional Association dated October 4, 2010, it reiterates that in the meetings of the Interprofessional, it has always refused to set a price for grapes, and 4) in any case, the sending of the emails could be considered as an exchange of information regarding the price of the D.O. Valdepeñas grapes, but regarding prices that were public knowledge and therefore not contrary to Article 1 of the LDC and 101 of the TFEU.  </w:t>
        <w:br/>
        <w:t xml:space="preserve">b) The coincidence in four cases in the prices in the price lists does not prove an agreement and argues that in two of the cases, Bodegas Espinosa and Félix Solís, the wineries pay premiums for various concepts that make the final prices different, not to mention that in addition to the price, a factor to consider is the payment conditions. And it adds, referring to the "Resolution of the Council of July 29, 2011, S/0202/09, Rice Industry," that even assuming (which it does not), the similarity in the prices of the price lists, these do not prove an agreement, especially when those prices are what was previously published in the press.  </w:t>
        <w:br/>
        <w:t xml:space="preserve">c) In the same sense, regarding the exchange of already published data, it pronounces in the allegations regarding the email sent to AMBV.  </w:t>
        <w:br/>
        <w:t xml:space="preserve">d) In relation to the data from the invoices, ASDEVIVALDEPEÑAS alleges a violation of the right to defense by declaring them confidential, since it claims that an imputation cannot be based on documents that the accused has not been able to refute.  </w:t>
        <w:br/>
        <w:t xml:space="preserve">e) In relation to the press conference of September 2010, and referring to the second FD of the Resolution of December 29, 2010 (expte. S/290/10 Associations of Livestock Farmers), regarding the need to analyze in its legal-economic context the ability of the conduct to distort competition, it argues that the same, analyzed as a whole, does not have that ability and highlights certain passages from the press conference, among others the response to a journalist in which it says that, "each member, each company, sets its price lists at the price they deem appropriate."  </w:t>
        <w:br/>
        <w:t xml:space="preserve">f) The rest of the allegations refer to the reasons for not imposing a sanction or for it to be merely symbolic, among others the existence of a social conflict and the participation of the Administration (referring to the Commission's decision of April 2, 2003, French beef).  </w:t>
        <w:br/>
        <w:t xml:space="preserve">Finally, regarding the volume of sales affected by the infringement used for the calculation of the sanction, it considers that it should be the amount invested by each member in the purchase of D.O. Valdepeñas grapes and not the turnover, since it argues that the production of wine with own grapes should not be included as affected sales volume, and moreover, some members produce other wines.  </w:t>
        <w:br/>
        <w:t xml:space="preserve">The Council will respond to these allegations, similar to those presented to the PCH, in the Legal Basis for the qualification of the conduct.  </w:t>
        <w:br/>
        <w:t xml:space="preserve">THIRD.- The Conducts.-  </w:t>
        <w:br/>
        <w:t xml:space="preserve">In this file, the Council must resolve whether the behaviors attributed to the Associations INTERVALDEPEÑAS, ASEVIVALDEPEÑAS, ASEVICAMAN, and AMBV are proven and once their realization is established, whether they constitute an infringement of those typified in Articles 1 of the LDC and 101 of the TFEU.  </w:t>
        <w:br/>
        <w:t>The Council considers that the following actions of the accused are credibly proven in the file, which, on the other hand, they have not refuted and</w:t>
      </w:r>
    </w:p>
    <w:p>
      <w:r>
        <w:rPr>
          <w:b/>
        </w:rPr>
        <w:t>[Pages 34–36]</w:t>
      </w:r>
    </w:p>
    <w:p>
      <w:r>
        <w:t>have accepted as proven facts, although they disagree with the assessment of the same, as noted in the allegations included in the previous FD:</w:t>
      </w:r>
    </w:p>
    <w:p>
      <w:r>
        <w:t>1) That at the beginning of the 2009/2010 harvest campaign, on September 7, at the time of negotiating the buying and selling prices of grapes from the Denomination of Origin Valdepeñas, the President of the ASEVIVALDEPEÑAS Association, through its Purchasing Director, approached some members of its own association and another association of said Denomination of Origin, AMBV, to determine the calculation of prices and therefore the final price at which they all had to pay per kilogram of grapes, both white and red, attaching annexes with the calculations (HP 56 to 59).</w:t>
      </w:r>
    </w:p>
    <w:p>
      <w:r>
        <w:t>2) On the same date and just a few hours later, the President of the AMBV Association forwarded said email, including annexes, to the members of his association (HP 59).</w:t>
      </w:r>
    </w:p>
    <w:p>
      <w:r>
        <w:t>3) On September 21, the same author, referring to a telephone conversation from the previous day, again sent an email on behalf of the President of ASEVIVALDEPEÑAS, attaching the "price table" (HP 61 and 62). And on that same date, two hours later, the President himself sent a personal email to the Vice President of the Association, attaching the same tables and reproaching him for having to accept "the prices that were published," because the Vice President's company had made a unilateral decision against the ASEVIVALDEPEÑAS Association (HP 63).</w:t>
      </w:r>
    </w:p>
    <w:p>
      <w:r>
        <w:t>4) It is also evidenced that the ASEVICAMAN Association sent circulars to its members and that those sent on September 8, 9, and 10 addressed the prices of grapes from both Valdepeñas and La Mancha, published by the digital newspaper "El correo del vino" (HP 53 to 55).</w:t>
      </w:r>
    </w:p>
    <w:p>
      <w:r>
        <w:t>5) Finally, it is evidenced that the Secretary General of the ASEVICAMAN and ASEVIVALDEPEÑAS Associations, on September 10, 2010, held a press conference, in which without defining a purchase price for grapes, sent various messages about the price reductions (15%) that the wine from the DO Valdepeñas had experienced, and the necessary consequence that this should have, among other aspects, on the prices of the grapes for the campaign that was starting (HP 64 to 66).</w:t>
      </w:r>
    </w:p>
    <w:p>
      <w:r>
        <w:t>This set of actions carried out by two associations of the D.O. Valdepeñas (ASEVIVALDEPEÑAS and AMBV) and by one from the D.O. La Mancha (ASEVICAMAN) directly related to the first, since they share a Secretary General, shows a coordinated action aimed at determining and limiting the price that the associated winemakers must pay for the grapes. These actions take place at the strong start of the campaign, in September, as it is the time when most of the grapes are harvested (although in some vineyards harvesting may have begun at the end of August), and it is therefore the time to establish the final billed prices.</w:t>
      </w:r>
    </w:p>
    <w:p>
      <w:r>
        <w:t>It is an undisputed fact that every September, in the different wine-growing areas of Spain, there is tension between the price that the grape producer seeks to obtain and the price that the winemaker is willing to pay, and further evidence of this for the case of the DO Valdepeñas is the content of the draft "Strategic Plan for the Reorganization of the DO Valdepeñas 2005-2008," which is included in the Proven Facts 36 to 46, and although the DI has not been able to prove who commissioned it, it shows a repeated concern on the part of the wine industry to have a system for price setting, in what it calls "ensuring the stability of the prices of the raw material," understood as the raw material for wine production, that is, the grapes corresponding to the denomination (HP 40 and 41).</w:t>
      </w:r>
    </w:p>
    <w:p>
      <w:r>
        <w:t>And one issue that this Council wants to emphasize is that the actions described above among the associations on the one hand of the D.O. Valdepeñas and the Association of the D.O. La Mancha, all have the same and sole purpose, which is to impose a determined and homogeneous price in each campaign for the purchase of grapes from the corresponding Denomination of Origin, both in Valdepeñas and La Mancha. And this common objective is independent of the instrument or instruments used, whether through the exchange of information, sending each other the prices to be placed on the table, as they did in 2009, or sending the message through the media at the beginning of September 2010. And as we will see later when attributing responsibilities, the actions described carried out by the associations, jointly and in parallel among themselves, at the peak moment of setting the buying price of grapes, show the existence of a plan by the winemakers' associations to contain the purchase prices below certain levels, through the formula of paying the same price per kilogram and ensuring that none deviates, a presumption that has not been refuted by the parties. And this common objective of the anticompetitive practices attributed is what makes us face a single infringement contrary to Article 1 of the LDC and 101 of the Treaty, which has been carried out by the various involved parties, each according to their own characteristics.</w:t>
      </w:r>
    </w:p>
    <w:p>
      <w:r>
        <w:t>Against what the parties allege about the innocuousness of each of the actions taken in isolation, and although the actions of the parties in 2009 and the joint recommendation of the two associations in 2010 could indeed be analyzed independently, this Council is of the opinion that the explanation of the behaviors carried out makes complete sense when analyzed together based on the final objective they pursue, since they constitute what the regulations call a single and continuous infringement, which according to the definition in Article 4.6 of Royal Decree 1398/1993, of August 4, which approves the Procedure Regulation for the exercise of sanctioning power is:</w:t>
      </w:r>
    </w:p>
    <w:p>
      <w:r>
        <w:t>“the carrying out of a plurality of actions or omissions that infringe the same or similar administrative provisions, in execution of a preconceived plan or taking advantage of the same opportunity.”</w:t>
      </w:r>
    </w:p>
    <w:p>
      <w:r>
        <w:t>And this is the criterion repeatedly applied by this Council, similar to the decisional practice of the European Commission confirmed by the Court of Justice, which in among others, in the Judgment of the Court of Justice (TJCE) of September 21, 2006, case C-105/0, stated the following:</w:t>
      </w:r>
    </w:p>
    <w:p>
      <w:r>
        <w:t>“110.- An infringement of Article 81 EC, paragraph 1, can result not only from an isolated act but also from a series of acts or even from a continuous behavior. This interpretation is not undermined by the fact that one or several elements of that series of acts or the continuous behavior may also constitute by themselves and considered in isolation an infringement of the aforementioned provision. When the different actions are part of a ‘joint plan’ due to their identical object that distorts competition within the common market, the commission may attribute responsibility for those actions based on participation in the infringement considered as a whole.”</w:t>
      </w:r>
    </w:p>
    <w:p>
      <w:r>
        <w:t>Well, here we find ourselves before similar behaviors among all the actors, transmitting to their members the prices and sending messages about the prices and, in some cases, about their reduction so that each winemaker does not decide on their own the price to pay, thus harmonizing the commercial purchasing policy of grapes.</w:t>
      </w:r>
    </w:p>
    <w:p>
      <w:r>
        <w:t>And this is seen both in the circulars sent by ASEVICAMAN, which although it transmitted published prices, acted as a harmonizer of knowledge about the prices to be paid, as well as in the forwarding carried out by the President of AMBV of the email received from the president of ASEVIVALDEPEÑAS. But where the infringing conduct appears most evidently is in the emails sent from the Solís company, which held the presidency of the ASEVIVALDEPEÑAS Association, to the members of its own association and its competitors, to the president of the sister Association AMBV and especially the email that the President of ASEVIVALDEPEÑAS personally sends to the Vice President of the Association.</w:t>
      </w:r>
    </w:p>
    <w:p>
      <w:r>
        <w:t>Indeed, these emails, along with the press conference of 2010, show the common plan, the cement that binds the different actions carried out by the associations.</w:t>
      </w:r>
    </w:p>
    <w:p>
      <w:r>
        <w:t>Thus, the President of Bodegas Solís, in his capacity as President of the ASEVIVALDEPEÑAS Association, according to his express statement in his document submitted to the CNC on January 30, 2012 (folio 2672), gives instructions to the Purchasing and Estates Director of Bodega Solís and he, on his behalf, sends on September 7 to his competitors instructions for calculating the prices downward, calling for an in-person meeting on the 9th and saying at the end, “Regards and I’ll call you to meet” (HP 56).</w:t>
      </w:r>
    </w:p>
    <w:p>
      <w:r>
        <w:t>The same sender, in the email of the 21st, when sending what he is going to put on the table, says, “As we discussed by phone…” and explicitly gives the phone number to the president of AMBV so that he can call him (HP 60).</w:t>
      </w:r>
    </w:p>
    <w:p>
      <w:r>
        <w:t>And the existence of an agreement in the association, as well as the Common Plan, is evident in the email that the President of ASEVIVALDEPEÑAS sends to the Vice President of the association, belonging to the García Carrión wineries, in which he explicitly tells him that he has not followed the association's agreement, “I am sending you the price table that today we are putting in the wineries we have in the DO Valdepeñas, since your company has made a unilateral decision against the ASEVIVALDEPEÑAS association, to accept the prices that were published and that are not correct, we have no other option but to set the prices that you reflect in the tables,” ending by saying that he will call him.</w:t>
      </w:r>
    </w:p>
    <w:p>
      <w:r>
        <w:rPr>
          <w:b/>
        </w:rPr>
        <w:t>[Pages 37–39]</w:t>
      </w:r>
    </w:p>
    <w:p>
      <w:r>
        <w:t>la confianza legítima no puede amparar conductas que infrinjan la normativa de competencia, como es el caso presente. En cuanto a los precedentes, el Consejo considera que cada caso debe ser analizado en función de sus circunstancias particulares y que no es posible establecer un criterio uniforme que se aplique a todos los casos. Por lo tanto, la existencia de precedentes en los que no se ha declarado infracción o se ha minorado la sanción no es suficiente para modificar la decisión adoptada en este caso.</w:t>
      </w:r>
    </w:p>
    <w:p>
      <w:r>
        <w:t>Finalmente, el Consejo concluye que las conductas imputadas a las Asociaciones constituyen una infracción de los artículos 1 de la LDC y 101 del TFUE, y que la imposición de una multa es procedente y debe ser cuantificada de acuerdo con los criterios establecidos en la normativa aplicable.</w:t>
      </w:r>
    </w:p>
    <w:p>
      <w:r>
        <w:rPr>
          <w:b/>
        </w:rPr>
        <w:t>[Pages 40–42]</w:t>
      </w:r>
    </w:p>
    <w:p>
      <w:r>
        <w:t>only the competent authority to authorize or supervise such acts can generate legitimate trust, through its actions or omissions.</w:t>
      </w:r>
    </w:p>
    <w:p>
      <w:r>
        <w:t>And the Council added in the NINTH Legal Basis of that Resolution: "Thus, the Judgment of the Supreme Court of February 14, 2006 refers to legitimate trust in these terms: '...the principle of legitimate trust implies that it is legitimate for the citizen to trust the Administration, thus delimiting the rights and obligations of both in an objective sense, according to what can be expected in accordance with the rules of 'legal traffic', and not in a subjective sense, according to the belief of the parties. But this principle must be interpreted restrictively and always within the scope of legality.'</w:t>
      </w:r>
    </w:p>
    <w:p>
      <w:r>
        <w:t>And in subsequent Judgments, the Supreme Court further outlines its position. Thus, in the Judgment of December 20, 2006 of the Administrative Litigation Chamber, Section 3, in the case of Viajes Iberia regarding Travel Agencies (RTDC of October 25, 2000, File 476/99), in which it claimed legitimate trust because the conduct was known and accepted by the Administration, the High Court dismissed this reason with the following foundation: '...the principle of legality prevails over a behavior manifestly contrary to legality itself, even when the conduct of the Administration may have been ambiguous.'</w:t>
      </w:r>
    </w:p>
    <w:p>
      <w:r>
        <w:t>And the High Court adds, 'On the other hand, it must be said that the Administration must in all cases adjust its behavior to the legality of competition law, avoiding actions that may jeopardize a strict application of the principle of legality in order to achieve certain benefits for general interests (in the case at hand, entrusting a certain social program to solid companies). All the more so, as pointed out by the Competition Defense Tribunal and the contested Judgment, effective competition was not incompatible with a reliable execution of the tendered program and could favor more advantageous conditions, apart from price, for the public to whom that program was directed.'</w:t>
      </w:r>
    </w:p>
    <w:p>
      <w:r>
        <w:t>From the above, it follows that the possible application of the principle of legitimate trust is based on the necessary examination of the specific circumstances that occur in each case (behavior of the Administration, sanctioned conduct, general and particular interests at stake) and that it is not enough to allege it in relation to any act of the Administration that may have generated error in the administered to understand it as applicable.</w:t>
      </w:r>
    </w:p>
    <w:p>
      <w:r>
        <w:t>And regarding this Resolution, the National Court has already ruled in its Judgment of 15 (appeal 608/2011 promoted by AECOVI-JEREZ SCA) in which, without prejudice to annul the imposition of the fine based on the consideration of the subjective element of the infringement, it considers the declaration of infringement to be lawful, and in relation to the issue at hand and the possible existence of legitimate trust, it states the following: '...the Chamber considers that the conduct of the appellant is not covered by the law nor is the principle of legitimate trust applicable.</w:t>
      </w:r>
    </w:p>
    <w:p>
      <w:r>
        <w:t>The principle of legitimate trust currently constitutes, since the Judgments of the Court of Justice of the European Communities of March 22, 1961 and July 13, 1965 (case Lemmerz-Werk), a general principle of Community Law, received by our Supreme Court in its jurisprudence since 1990 and already in our legislation (Law 4/99 reforming Law 30/92, art. 3.1.2). In the STS of May 10, 1999, it is recalled that 'the doctrine on the principle of protection of legitimate trust, related to the more traditional principles in our legal system of legal certainty and good faith in the relations between the Administration and individuals, and which involves, according to the doctrine of the Court of Justice of the European Communities and the jurisprudence of this Chamber, that the public authority cannot adopt measures that are contrary to the hope induced by the reasonable stability in its decisions, and based on which individuals have made certain decisions. Or in other words, the virtuality of the invoked principle may imply the annulment of an act or norm and, at the very least, obliges to respond, within the community framework of the alteration (without prior knowledge, without sufficient transitional measures for the subjects to adjust their behavior and proportionate to the public interest at stake, and without the necessary corrective or compensatory measures) of the usual and stable circumstances, generating founded hopes of maintenance. However, the principle of legitimate trust does not guarantee the perpetuation of the existing situation, which may be modified within the framework of the discretion of institutions and public powers to impose new regulations appreciating the needs of the general interest.'</w:t>
      </w:r>
    </w:p>
    <w:p>
      <w:r>
        <w:t>It cannot be understood, therefore, that the fact that the conduct developed over years, and that the autonomous Administration tolerated the agreements, equates to generating legitimate trust that the price-fixing pact is not contrary to the Competition Defense Law or the Treaty of the European Union.'</w:t>
      </w:r>
    </w:p>
    <w:p>
      <w:r>
        <w:t>But even more, the case at hand does not present any of the characteristics alleged in the case 'Producers of Grapes and Wine of Jerez' since there is no regulatory confusion or legal uncertainty that could lead the responsible parties of the associations to think that actions such as those carried out could be covered either by the regulations or by public authorities. And that, regardless of the (merely passive) action that the Administration may have had, they were clearly aware that such actions constituted an infringement of competition rules, as is evident in the language used in the declaration of September 2010, when it states, 'we do not set trends, as one cannot set [...] it corresponds to each seller and each buyer, who are totally omnipotent [...] that is to say, we are not going to state prices...', while at the same time insisting on reducing the final product price by 15% and asking where to transfer that lower price (HP 66). Therefore, there is no circumstance that, in this regard, can be taken into consideration to mitigate the responsibility of the infringers.</w:t>
      </w:r>
    </w:p>
    <w:p>
      <w:r>
        <w:t>And regarding the references to other situations in which the Council has not declared an infringement, such as the files 'S/0202/09 Rice Industry', or 'S/0133/09 Spanish Association of Frozen Dough Manufacturers', in exercising its right of defense, ASEVIVALDEPEÑAS tries to induce confusion, since they are not comparable products. The marketing of rice, a storable non-perishable product, is far from presenting the problems that the sale of a perishable product like grapes poses for the producer, but in any case, and as already mentioned earlier, in this case the accusation is not based on price similarity, the only indication in that case, but on the behaviors carried out by the associations that are duly accredited in the file. On the contrary, ASEVIVALDEPEÑAS forgets to mention as precedents the Resolution of October 14, 2009 (S/0053/08, FIAB AND ASSOCIATES AND CEOPAN); the Resolution of September 29, 2009 (EXPTE. S/0044/08 PROPOLLO), ratified as anti-competitive practice by the AN, or more recently, the Resolution of September 26, 2012 (Expte. S/0335/11, CEOE).</w:t>
      </w:r>
    </w:p>
    <w:p>
      <w:r>
        <w:t>Finally, regarding the allegation made by ASEVIVALDEPEÑAS, referring to some statements made by the DI in its Proposal for Resolution, about that 'the conduct has no impact on the price of wine but rather the opposite, and therefore '...the effect that the supposed agreement would have is to buy the raw material at a lower cost, which in turn would provide margin to sell the wine at a cheaper price to consumers' (folio 4139), this Council can only express its complete disagreement with the implicit interpretation in it of the applicability of competition rules. What Article 1 of the LDC and 101 of the TFEU prohibits is not the variation of prices of the product in question or of a final product, but the distortion of the normal functioning of the market in question. The prohibition is clear for these purposes: 'Any agreement, decision or collective recommendation, or concerted or consciously parallel practice, that has as its object, produces or may produce the effect of preventing, restricting or distorting competition in all or part of the national market is prohibited.' And it adds, '...in particular. The direct or indirect fixing of prices or other commercial or service conditions.' The Council cannot accept that a fixing of purchase prices has 'a priori' a lesser impact on the general interest than if it were a selling price, since the distortion in the normal functioning of a market for agricultural products like the one at hand has a direct negative effect on the income of producers, without any efficiency being appreciated or formally alleged by the parties, since the most that ASEVIVALDEPEÑAS implies is that there would be room to reduce the price of the final product, which in any case will be set according to the conditions of its own market. But as the DI rightly states, in addition to the effects on the affected primary market, to the detriment of producers, the coordination in the purchase prices of the raw material introduces elements of distortion in the market of...</w:t>
      </w:r>
    </w:p>
    <w:p>
      <w:r>
        <w:rPr>
          <w:b/>
        </w:rPr>
        <w:t>[Pages 43–45]</w:t>
      </w:r>
    </w:p>
    <w:p>
      <w:r>
        <w:t>the grape purchases in the affected market, which is estimated at 70 million euros for the D.O. Valdepeñas and approximately 30 million euros for the D.O. La Mancha.</w:t>
      </w:r>
    </w:p>
    <w:p>
      <w:r>
        <w:t>In accordance with the aforementioned Communication, the base amount for the fine will be calculated based on the total sales volume of the grape purchases, taking into account the gravity of the infringement and the market share of the entities involved.</w:t>
      </w:r>
    </w:p>
    <w:p>
      <w:r>
        <w:t>The Council will apply a percentage to this base amount, which will reflect the seriousness of the infringement and the need for deterrence. Given the very serious nature of the infringement, a higher percentage will be applied to ensure that the fines serve their purpose as a deterrent against future violations.</w:t>
      </w:r>
    </w:p>
    <w:p>
      <w:r>
        <w:t>In conclusion, the fines imposed on ASEVIVALDEPEÑAS, ASEVICAMAN, and AMBV will be determined based on the established criteria, ensuring that they are proportionate to the severity of the infringement and the economic capacity of the entities involved, while also considering the need to maintain fair competition in the market for grape purchases for wine production.</w:t>
      </w:r>
    </w:p>
    <w:p>
      <w:r>
        <w:rPr>
          <w:b/>
        </w:rPr>
        <w:t>[Pages 46–48]</w:t>
      </w:r>
    </w:p>
    <w:p>
      <w:r>
        <w:t>purchase of GRAPES that would correspond to each of the Associations declared responsible in the campaigns in which each has participated. ASEVIVALDEPEÑAS and AMBV, at the request of this Council, have provided estimates on the grape purchase billing of their members for the production of wine from the D. O. Valdepeñas in the campaigns in which they are implicated. The Council has used this information as the basis for calculating the sanction.</w:t>
      </w:r>
    </w:p>
    <w:p>
      <w:r>
        <w:t>In the case of ASEVICAMAN, which, although requested, has not provided any information regarding the grapes purchased by its members, the Council, starting from the known data of total wine production from D.O. Castilla-La Mancha, applied the percentage of representation of the association in the D.O. and considering that the use of grapes for wine production maintains the same proportion as in the case of the D.O. Valdepeñas, has calculated a billing figure for the grapes of the association's members for the 2009/2010 and 2010/2011 campaigns, which it will use for calculating the fine, considering it more favorable for the accused than the application of Article 63.3 of the LDC.</w:t>
      </w:r>
    </w:p>
    <w:p>
      <w:r>
        <w:t>As noted above, the infringement committed is classified as very serious and therefore deserving of a high sanctioning rate, but taking into account precedents of sanctions in comparable markets, as well as, 1) that the scope of the conduct is limited to the grapes marketed for wine production in the D.O. of the Autonomous Community of Castilla-La Mancha, and 2) that the period in which the infringement has been established extends to the 2009/2010 and 2010/2011 campaigns, and therefore it is not established that the same conduct has been maintained in the campaign that began after the initiation of the proceedings, the Council considers that a proportionate and deterrent base rate would be around 3% of the grape purchase billing of the accused. And this is because, although as stated above this type of infringement is deserving of reproach due to its effect on producers, in the economic context in which it occurred, with a situation of falling prices of the final product and considering that relevant members did not follow the association's directive, the rate must be graduated and reduced accordingly, compared to what would initially correspond.</w:t>
      </w:r>
    </w:p>
    <w:p>
      <w:r>
        <w:t>And this rate will be applied equally to the three sanctioned, since proportionality in light of the different importance of the associations in each D.O. is precisely reflected by the billing attributed to the members of each association, just as the participation in the infringement in one or both campaigns is reflected in that the billing base used is that of one or both campaigns.</w:t>
      </w:r>
    </w:p>
    <w:p>
      <w:r>
        <w:t>ASEVIVALDEPEÑAS has engaged in anticompetitive actions in both campaigns and its participation in the buying and selling of D.O. Valdepeñas grapes is very high (82% and 84% in each of the years), so the base for calculating the sanction exceeds twenty million euros, which applying the 3% results in a fine of 746,871 euros. (Seven hundred forty-six thousand eight hundred seventy-one euros).</w:t>
      </w:r>
    </w:p>
    <w:p>
      <w:r>
        <w:t>On the other hand, in the case of ASEVICAMAN, it has a much lower importance in its D.O. (around 15%), an aspect that is reflected in the lower grape purchase billing, placing the base for calculating the sanction below 10 million euros, which applying the 3% rate results in a fine of 270,443 euros (Two hundred seventy thousand four hundred forty-three euros).</w:t>
      </w:r>
    </w:p>
    <w:p>
      <w:r>
        <w:t>Finally, in the case of the AMBV association, this Council considers that participation in an infringement by forwarding the received email makes it deserving of equal reproach and therefore a monetary sanction that deters it from engaging in similar conduct in the future, so applying the 3% rate to the data it provided regarding the amount invested by its members in the purchase of grapes in the 2009/2010 campaign, the fine amounts to 13,370 euros (Thirteen thousand three hundred seventy euros).</w:t>
      </w:r>
    </w:p>
    <w:p>
      <w:r>
        <w:t>Having seen the cited provisions and others of general application, the Council of the National Competition Commission in the composition stated at the beginning,</w:t>
      </w:r>
    </w:p>
    <w:p>
      <w:r>
        <w:t>RESOLVES</w:t>
      </w:r>
    </w:p>
    <w:p>
      <w:r>
        <w:t>FIRST.- To declare ASEVIVALDEPEÑAS, ASEVICAMAN, and AMBV responsible for an infringement of Article 1 of the LDC and Article 101 of the TFUE, in the terms set forth in the Legal Grounds FOURTH and FIFTH.</w:t>
      </w:r>
    </w:p>
    <w:p>
      <w:r>
        <w:t xml:space="preserve">SECOND.- To impose the following sanctions on the authors of the infringing conduct: </w:t>
        <w:br/>
        <w:t xml:space="preserve">− Regional Association of Wine Entrepreneurs of the production and aging areas of the D.O. Valdepeñas. (ASEVIVALDEPEÑAS), 746,871 euros (Seven hundred forty-six thousand eight hundred seventy-one euros). </w:t>
        <w:br/>
        <w:t xml:space="preserve">− Regional Association of Wine Entrepreneurs of Castilla la Mancha (ASEVICAMAN), 270,443 euros (Two hundred seventy thousand four hundred forty-three euros). </w:t>
        <w:br/>
        <w:t>− Group of Master Winemakers of Valdepeñas (AMBV), 13,370 euros (Thirteen thousand three hundred seventy euros).</w:t>
      </w:r>
    </w:p>
    <w:p>
      <w:r>
        <w:t>THIRD.- To declare that the responsibility of INTERVALDEPEÑAS has not been established as set forth in the Legal Ground THIRD.</w:t>
      </w:r>
    </w:p>
    <w:p>
      <w:r>
        <w:t>FOURTH.- The aforementioned Associations will justify before the Investigation Directorate of the CNC the compliance with the obligation imposed in the second resolve.</w:t>
      </w:r>
    </w:p>
    <w:p>
      <w:r>
        <w:t>FIFTH.- The Investigation Directorate is urged to monitor and ensure the full compliance with this Resolution.</w:t>
      </w:r>
    </w:p>
    <w:p>
      <w:r>
        <w:t>Communicate this Resolution to the Investigation Directorate and notify the interested parties, informing them that it concludes the administrative route,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