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https://www.cnmc.es/expedientes/s032311</w:t>
      </w:r>
    </w:p>
    <w:p>
      <w:r>
        <w:t>Pages translated : 12</w:t>
      </w:r>
    </w:p>
    <w:p/>
    <w:p>
      <w:r>
        <w:rPr>
          <w:b/>
        </w:rPr>
        <w:t>[Pages 1–3]</w:t>
      </w:r>
    </w:p>
    <w:p>
      <w:r>
        <w:t>NATIONAL COMPETITION COMMISSION</w:t>
      </w:r>
    </w:p>
    <w:p>
      <w:r>
        <w:t>RESOLUTION (EXPTE. S/323/11 INDUSTRIAL FARMACEUTICA CANTABRIA)</w:t>
      </w:r>
    </w:p>
    <w:p>
      <w:r>
        <w:t>COUNCIL</w:t>
      </w:r>
    </w:p>
    <w:p>
      <w:r>
        <w:t xml:space="preserve">Mr. Joaquín García Bernaldo de Quirós, President  </w:t>
        <w:br/>
        <w:t xml:space="preserve">Ms. Pilar Sánchez Núñez, Vice President  </w:t>
        <w:br/>
        <w:t xml:space="preserve">Mr. Julio Costas Comesaña, Councilor  </w:t>
        <w:br/>
        <w:t xml:space="preserve">Ms. M. Jesús González López, Councilor  </w:t>
        <w:br/>
        <w:t xml:space="preserve">Ms. Inmaculada Gutiérrez Carrizo, Councilor  </w:t>
        <w:br/>
        <w:t xml:space="preserve">Ms. Paloma Ávila de Grado, Councilor  </w:t>
        <w:br/>
        <w:t>Mr. Luis Díez Martín, Councilor</w:t>
      </w:r>
    </w:p>
    <w:p>
      <w:r>
        <w:t>In Madrid, on December 30, 2011</w:t>
      </w:r>
    </w:p>
    <w:p>
      <w:r>
        <w:t>The Council of the National Competition Commission (the Council), with the composition already expressed and being the Rapporteur Ms. Pilar Sánchez Núñez, has issued the following Resolution in the case S/0323/11 INDUSTRIAL FARMACEUTICA CANTABRIA, S.A., which arises from the complaint filed by FARMA DESCUENTO S.L. (FARMA DESCUENTO) against INDUSTRIAL FARMACEUTICA CANTABRIA S.A. (IFC), for alleged restrictive competition practices prohibited by Law 15/2007, of July 3, on the Defense of Competition (LDC).</w:t>
      </w:r>
    </w:p>
    <w:p>
      <w:r>
        <w:t>FACTUAL BACKGROUND</w:t>
      </w:r>
    </w:p>
    <w:p>
      <w:r>
        <w:t>Complaint</w:t>
      </w:r>
    </w:p>
    <w:p>
      <w:r>
        <w:t>1. On December 29, 2010, FARMA DESCUENTO S.L. (FARMA DESCUENTO) filed a complaint against INDUSTRIAL FARMACÉUTICA CANTABRIA S.A. (IFC), for alleged restrictive competition practices consisting of resale price fixing, refusal to supply, and discrimination between traditional sales establishments and electronic sales regarding certain cosmetic products (folios 1-11), which would constitute a series of anticompetitive behaviors that would violate Article 1 of Law 15/2007, of July 3, on the Defense of Competition (LDC).</w:t>
      </w:r>
    </w:p>
    <w:p>
      <w:r>
        <w:t>Investigation</w:t>
      </w:r>
    </w:p>
    <w:p>
      <w:r>
        <w:t xml:space="preserve">2. On March 18, 2011, the Directorate of Investigation requested the following information from  </w:t>
        <w:br/>
        <w:t xml:space="preserve">− FARMA DESCUENTO: (i) information on the definition and structure of the wholesale and retail market for the reported cosmetic products, (ii) estimated market shares of IFC and its competitors, and (iii) provision of invoices, contact details of pharmacies to which IFC offers promotions, and indication of any operator that was or would have been in a similar situation to that reported (folios 12-17). On March 30, the response from FARMA DESCUENTO was received (folios 24-76).  </w:t>
        <w:br/>
        <w:t>− To the reported party IFC: (i) information on distribution channels of the reported products, definition and structure of the retail market, (ii) data on competitors, own market shares and those of competitors, and (iii) sales conditions and promotions of its products (folios 18-23). On April 1, 2011, a response was received from IFC (folios 78-95).</w:t>
      </w:r>
    </w:p>
    <w:p>
      <w:r>
        <w:t>3. On April 12, 2011, information was requested from three para-pharmacies: Farmacia Morlan, Parafarmacia de El Corte Ingles, and Farmacia en Casa Online regarding the reported cosmetic products. On April 14, 20, and 26, 2011, the corresponding responses were received (folios 96-111 and 118-122).</w:t>
      </w:r>
    </w:p>
    <w:p>
      <w:r>
        <w:t>4. On April 18, 2011, clarification of the information provided by IFC was requested, specifically regarding the distribution of its products and market shares. Additionally, the provision of contracts was requested. On May 6, a response was received (folios 112-117 and 123-127).</w:t>
      </w:r>
    </w:p>
    <w:p>
      <w:r>
        <w:t>Based on the previous information, the Directorate of Investigation has made the following description of the parties and the market:</w:t>
      </w:r>
    </w:p>
    <w:p>
      <w:r>
        <w:t>About the parties</w:t>
      </w:r>
    </w:p>
    <w:p>
      <w:r>
        <w:t>Complainant: Farma Descuento, S.L. (FARMA DESCUENTO)</w:t>
      </w:r>
    </w:p>
    <w:p>
      <w:r>
        <w:t>5. An e-commerce company, associated with a pharmacy, that sells para-pharmacy and dermo-cosmetic products throughout the mainland territory via its website www.farmadescuento.com.</w:t>
      </w:r>
    </w:p>
    <w:p>
      <w:r>
        <w:t>Defendant: Industrial Farmacéutica Cantabria, S.A. (IFC)</w:t>
      </w:r>
    </w:p>
    <w:p>
      <w:r>
        <w:t>6. A laboratory focused on the prescription dermatology market both in the development and commercialization of its own technologies and acquired licenses. It is part of the IFC Group, an international federation of companies dedicated to skin care.</w:t>
      </w:r>
    </w:p>
    <w:p>
      <w:r>
        <w:t>About the characteristics of the market</w:t>
      </w:r>
    </w:p>
    <w:p>
      <w:r>
        <w:t>7. The complaint focuses on three products: Heliocare, Neo Strata, and Endocare. Heliocare is a line of sun products that are administered topically and orally, which gives it the category of dietary supplements, regulated by Royal Decree 1487/2009, of September 26, regarding dietary supplements and Royal Decree 1669/2009, of November 6, which modifies the labeling standard on the nutritional properties of food products, approved by Royal Decree 930/1992, of July 17. Endocare and Neostrata are two different lines of cosmetics with technology, regulated by Royal Decree 1599/1997, of October 17, on cosmetic products (RD 1599/1997).</w:t>
      </w:r>
    </w:p>
    <w:p>
      <w:r>
        <w:t>8. According to the list of cosmetic products appearing in Annex I of RD 1599/1997, under the Heliocare brand only sun products are marketed, while the Endocare and Neo Strata brands market anti-wrinkle skin creams, Endocare also markets lip products, and Neo Strata markets nail products and skin whiteners.</w:t>
      </w:r>
    </w:p>
    <w:p>
      <w:r>
        <w:t>9. Regarding their distribution, these products are sold mainly in pharmacies and para-pharmacies (more than 90%) and in specific para-pharmacy locations of large surfaces (less than 10%) as stated by the defendant, without being considered as medicines in any case. Therefore, they can be dispensed without a prescription and can also be marketed online. They are not luxury cosmetics but, given their high specialization, are products normally recommended by a dermatologist. According to the defendant, they are high-consumption products.</w:t>
      </w:r>
    </w:p>
    <w:p>
      <w:r>
        <w:t>10. In terms of defining relevant markets, European precedents (M4193 L’OREAL/THE BODY SHOP) classify the market for cosmetic products based on their nature and the characteristics of their retail distribution. In the first case, it distinguishes: (i) hair care products, (ii) sun protection products, (iii) facial care products, and (iv) body care products. Under the second criterion, it distinguishes between (i) luxury products and (ii) mass consumption products. All of these would be national dimension markets.</w:t>
      </w:r>
    </w:p>
    <w:p>
      <w:r>
        <w:t>11. According to national precedents, the Report of the Competition Defense Service N-05064 L’OREAL DELIAL analyzed the operation in the national market for sun care products as a whole and in the segments of sun protection, after sun, and self-tanners, although without closing the market definition. In the Resolution of the CNC Council of December 17, 2010 (Expte. S/257/10 NATURA BISSÉ INTERNACIONAL), reference is made to the wholesale markets of perfumes and cosmetics distinguishing the segments (i) luxury and (ii) mass consumption. And in the Resolution of the Council of November 26, 2010 (Expte. S/0279/10 MARTI TOR IMPOMEDIC S.L.), without closing the market definition, market shares in the distribution of para-pharmacy products are analyzed.</w:t>
      </w:r>
    </w:p>
    <w:p>
      <w:r>
        <w:t>12. IFC claims that its share in the national market for the manufacture and distribution of cosmetics (data provided by the defendant and obtained by the consulting firm IMS regarding pharmacy and para-pharmacy sales to consumers in 2010) stands at 2.7%, being a highly fragmented market with a large presence of competitors and a high degree of substitutability of products from both the supply and demand perspectives. The Directorate of Investigation assesses that: “Even defining narrower markets, in none of them would IFC reach a significant market share and would always be below 20%, except for the national market for oral sun care products which will be analyzed further.”</w:t>
      </w:r>
    </w:p>
    <w:p>
      <w:r>
        <w:rPr>
          <w:b/>
        </w:rPr>
        <w:t>[Pages 4–6]</w:t>
      </w:r>
    </w:p>
    <w:p>
      <w:r>
        <w:t>NATIONAL COMPETITION COMMISSION</w:t>
      </w:r>
    </w:p>
    <w:p>
      <w:r>
        <w:t>forward. It should also be noted that this data includes exclusively the quantities sold in pharmacies and para-pharmacies, excluding sales through large retailers or specialized stores, so these shares would be significantly overestimated compared to the estimates considered in the aforementioned precedents that usually distinguish only between luxury and mass consumption products (IFC states the following in this regard: “we confirm that the market shares provided come from sales of the products exclusively in pharmacy offices and para-pharmacies, since the only market data we have are those obtained from the consulting firm IMS” (folio 123), placing the products studied in this file in the mass consumption category).</w:t>
      </w:r>
    </w:p>
    <w:p>
      <w:r>
        <w:t>The market shares provided by the defendant IFC, based on a report from the consulting firm IMS, would be, according to the different possible markets considered, the following:</w:t>
      </w:r>
    </w:p>
    <w:p>
      <w:r>
        <w:t>Shares Other</w:t>
        <w:br/>
        <w:t>Market Shares IFC</w:t>
        <w:br/>
        <w:t>Markets Ranking IFC SHARE IFC First Second</w:t>
        <w:br/>
        <w:t>Cosmetic manufacturing and distribution 9 2.7% 9.3% Isdin 6.9% Avene</w:t>
        <w:br/>
        <w:t>Sun products 4 7.3% 31.6 Isdin 22.3 Avene</w:t>
        <w:br/>
        <w:t>− Sun protection 4 7% 34.7 Isdin 24.5 Avene</w:t>
        <w:br/>
        <w:t>− Pigmentation activators 2 20% 22.5 Inneov 19.8 Arkochin</w:t>
        <w:br/>
        <w:t>− After sun - - 38.6 Isdin 7.3 Avene</w:t>
        <w:br/>
        <w:t>49.6 Dermo 30.6 Avene</w:t>
        <w:br/>
        <w:t>− Self-tanners - - Farm</w:t>
        <w:br/>
        <w:t>Facial Care Treatment</w:t>
        <w:br/>
        <w:t>− Anti-wrinkle 5 7.4%</w:t>
        <w:br/>
        <w:t>− Others 8 3.9%</w:t>
        <w:br/>
        <w:t>− Acne-prone skin 6 6.2%</w:t>
        <w:br/>
        <w:t>− Masks - -</w:t>
        <w:br/>
        <w:t>Facial Care Cleaning</w:t>
        <w:br/>
        <w:t>− Acne-prone skin 5 5.1%</w:t>
        <w:br/>
        <w:t>− Others 10 2.5%</w:t>
        <w:br/>
        <w:t>42 0.2%</w:t>
        <w:br/>
        <w:t>Body Care</w:t>
        <w:br/>
        <w:t>21 0.9%</w:t>
        <w:br/>
        <w:t>Oral Aesthetics</w:t>
        <w:br/>
        <w:t>2 22.3% 25.2 Inneov 22.2 Arkochin</w:t>
        <w:br/>
        <w:t>Oral Solar</w:t>
        <w:br/>
        <w:t>13 2.0%</w:t>
        <w:br/>
        <w:t>Nail Care</w:t>
        <w:br/>
        <w:t>Source: Own elaboration according to IMS Consulting data</w:t>
      </w:r>
    </w:p>
    <w:p>
      <w:r>
        <w:t>13. According to European precedents (M 2773 NESTLÉ/LÓREAL/INNEOV), it would be possible to define a market that includes nutritional supplements for aesthetic purposes and a national geographical dimension. In this market, IFC's share is reduced to 0.9%. Conversely, in a narrower market of oral sun care products, its share would rise to 22.3%, behind the market leader, INNEOV with a share of 25.2%, and one-tenth ahead of the third operator: ARKOCHIM with 22.2%.</w:t>
      </w:r>
    </w:p>
    <w:p>
      <w:r>
        <w:t>Regarding IFC's contracts and prices</w:t>
      </w:r>
    </w:p>
    <w:p>
      <w:r>
        <w:t>14. According to the complaint, the response of the defendant and that of the para-pharmacies from which information has been requested (folios 1-11, 92, 110 confidential, 118, and 125), IFC does not formalize contracts for the sale of its products to pharmacies, para-pharmacies, or large distribution, regardless of whether the resale is done physically or online.</w:t>
      </w:r>
    </w:p>
    <w:p>
      <w:r>
        <w:t>15. IFC responds to the information requests by periodically updating the price list of all its products, and the buyer freely places orders according to it. Furthermore, regarding the differences in supply between online para-pharmacies and pharmacy offices, it states that “IFC does not discriminate when fulfilling its orders” (folio 79). This price list includes a column of recommended retail prices with the following observation: “The recommended retail prices for each product are indicative in nature, leaving their determination to the distributor's free discretion” (emphasis added). This is inferred both from IFC's response and from that of FARMACIA EN CASA ONLINE S.L., which provides a price list sent by IFC with the aforementioned warning about its indicative or recommended nature (folios 92 and 119).</w:t>
      </w:r>
    </w:p>
    <w:p>
      <w:r>
        <w:t>16. Other para-pharmacies claim that they freely set the prices of the reported products and their pricing policy follows a similar system to that of other para-pharmacy products. This is deduced from the responses of the consulted online para-pharmacies, which, according to the complainant, have experienced similar supply refusals from IFC and from El Corte Inglés (folios 110 CONFIDENTIAL, 118, and 121).</w:t>
      </w:r>
    </w:p>
    <w:p>
      <w:r>
        <w:t>Regarding IFC's customers</w:t>
      </w:r>
    </w:p>
    <w:p>
      <w:r>
        <w:t>17. IFC claims that it offers its buyers promotional formats or packages unconditionally, and these distributors can freely adhere to these offers (folios 82, 93, 94, 95, 125, 126, 127).</w:t>
      </w:r>
    </w:p>
    <w:p>
      <w:r>
        <w:t>18. In their responses to the information requests from other para-pharmacies, none indicate that there are discriminatory conditions, but rather state that they access volume discounts and promotional packages (folios 110 CONFIDENTIAL, 118, and 121). In particular, the online para-pharmacy FARMACIA EN CASA ONLINE S.L. states that IFC usually makes occasional promotions with some products consisting, among other things, of gifts of toiletry bags and samples as well as bonuses (folio 118). For its part, FARMACIA MORLÁN, which also operates online, reflects among the conditions offered by IFC the gift of a toiletry bag with certain Endocare and Neostrata products.</w:t>
      </w:r>
    </w:p>
    <w:p>
      <w:r>
        <w:t>Regarding supply conditions</w:t>
      </w:r>
    </w:p>
    <w:p>
      <w:r>
        <w:t>19. IFC's products can be purchased both directly and through distributors, as inferred from the complaint as well as from the responses of FARMACIA EN CASA ONLINE S.L. and IFC (folios 8, 78, 118). Specifically, IFC states that of its total sales of Heliocare, it sells 46.60% to wholesalers, with the rest corresponding to direct sales. For Neostrata and Endocare, sales to wholesalers amount to 60% and 42.6%, respectively. It also states that it allows its distributors to resell to other distributors as an expansive strategy of the company itself (folio 125).</w:t>
      </w:r>
    </w:p>
    <w:p>
      <w:r>
        <w:t>20. None of the para-pharmacies from which information has been requested claim to have experienced a supply refusal from IFC (folios 110 (confidential), 118, and 121). Specifically, one of the online para-pharmacies that, according to the complainant, would have experienced supply refusals, FARMACIA EN CASA ONLINE SL, states regarding its supply relationship with IFC that “the relationship is good, they generally have product available, when they do not have it, we usually source through FAMESA” (folio 118).</w:t>
      </w:r>
    </w:p>
    <w:p>
      <w:r>
        <w:t>Regarding the reported conduct</w:t>
      </w:r>
    </w:p>
    <w:p>
      <w:r>
        <w:t>21. The complaint specifically affects three lines of dermatological products that IFC markets: Heliocare, Endocare, and Neostrata, regarding which:</w:t>
        <w:br/>
        <w:t>∼ IFC would have reviewed from September 2010 the prices that FARMA DESCUENTO applied on its website and threatened it, so that if those prices were lower than 15% of the retail price recommended by IFC, the requested orders would not be served.</w:t>
        <w:br/>
        <w:t>∼ It is reported that since the same month of September, the requested products from IFC would have stopped being received, complying with the threats.</w:t>
        <w:br/>
        <w:t>∼ FARMA DESCUENTO would not have received from IFC any promotional format or pack that it did offer to pharmacies that do not sell through electronic commerce. IFC would have verbally responded that “such formats and promotional packs were banned for electronic commerce, as they did not see it reasonable for an Off Line store to only sell in its geographical area of influence, while an On Line store has access to the entire market, thus compensating for that supposed deviation, which in practice means the breaking of market allocation.”</w:t>
        <w:br/>
        <w:t>∼ These behaviors would not only refer to the relationship of FARMA DESCUENTO with IFC but would extend to the entire network of</w:t>
      </w:r>
    </w:p>
    <w:p>
      <w:r>
        <w:rPr>
          <w:b/>
        </w:rPr>
        <w:t>[Pages 7–9]</w:t>
      </w:r>
    </w:p>
    <w:p>
      <w:r>
        <w:t>NATIONAL COMPETITION COMMISSION</w:t>
      </w:r>
    </w:p>
    <w:p>
      <w:r>
        <w:t>pharmacies and para-pharmacies that distribute IFC's products, such that IFC would require them to maintain a minimum final price not lower than 15% of the recommended retail price and would only offer its promotional packs to those that do not sell through the internet.</w:t>
      </w:r>
    </w:p>
    <w:p>
      <w:r>
        <w:t>∼ At the request of the Directorate of Investigation, the complainant identifies other establishments that it considers have experienced a similar refusal to supply by IFC: www.farmacia-morlan.com, www.farmaciaencasaonline.com, and www.farmanatur.com.</w:t>
      </w:r>
    </w:p>
    <w:p>
      <w:r>
        <w:t>∼ The complaint holds both IFC and the pharmacies and para-pharmacies that accept these supposedly imposed price conditions responsible for a price-fixing agreement.</w:t>
      </w:r>
    </w:p>
    <w:p>
      <w:r>
        <w:t>Assessment of the Directorate of Investigation</w:t>
      </w:r>
    </w:p>
    <w:p>
      <w:r>
        <w:t>Regarding Article 1.1. a) LDC</w:t>
      </w:r>
    </w:p>
    <w:p>
      <w:r>
        <w:t>22. The Directorate of Investigation points out that the complainant has stated that it has placed orders in the past, claiming that since September 2010 it has stopped receiving orders from IFC after two meetings held in the summer of that year with sales representatives and executives of that company, who allegedly pressured the complainant to ensure that its prices were not lower than 15% of the recommended retail price. No evidence has been provided on the part of the complainant regarding the alleged illegal price-fixing.</w:t>
      </w:r>
    </w:p>
    <w:p>
      <w:r>
        <w:t>23. The responses received by the Directorate of Investigation to the information requests sent to the complainant, the defendant, and other para-pharmacies that the complainant itself indicates may have been subject to similar practices, in order to determine whether there were indications that corroborated this assertion, suggest that there is no written contract regulating the commercial relationship between the parties and that there is indeed a table of recommended retail prices from IFC, which its distributors can freely choose to adopt or not.</w:t>
      </w:r>
    </w:p>
    <w:p>
      <w:r>
        <w:t>24. What has been established is that IFC includes in its price lists a recommended retail price, explicitly stating that “the recommended prices for each product are indicative, leaving their determination to the distributor's free discretion.”</w:t>
      </w:r>
    </w:p>
    <w:p>
      <w:r>
        <w:t>25. Consequently, based on these facts, the Directorate of Investigation assesses that:</w:t>
      </w:r>
    </w:p>
    <w:p>
      <w:r>
        <w:t>(i). “The mere recommendation of prices does not constitute per se an illegal competition comparable to resale price maintenance as derived from the European Commission Communication of May 10, 2010 – Guidelines on Vertical Restraints, which states in paragraph 48 the following: ‘However, the use of a specific accompanying measure or the distribution by the supplier to the buyer of a list with recommended prices or maximum prices is not considered in itself to lead to RPM [resale price maintenance].’</w:t>
      </w:r>
    </w:p>
    <w:p>
      <w:r>
        <w:t>(ii). These guidelines also state that “The practice of recommending a resale price to a reseller or requiring them to adhere to a maximum resale price is covered by the Block Exemption Regulation when the market share of each party to the agreement does not exceed the 30% threshold, provided that it does not result in a minimum or fixed sale price due to pressure or incentives offered by any of the parties” (paragraph 226).</w:t>
      </w:r>
    </w:p>
    <w:p>
      <w:r>
        <w:t>(iii). “The aforementioned communication emphasizes in paragraph 228 that an important factor in determining whether recommended prices may have anticompetitive effects is the supplier's position in the market. And as deduced from the market characterization section, IFC's share in the possible relevant markets, including the narrowest possible market definitions, is in all cases below 30%, despite the shares being overestimated (since only sales in pharmacies and para-pharmacies have been considered). It follows that IFC does not have a strong position in the market, especially considering that there are a significant number of competitors with strong penetration, particularly in the segment of sun care products, such as ISDIN, AVÈNE, VICHY, or LA ROCHE POSAY, and that IFC is not the market leader in any case.</w:t>
      </w:r>
    </w:p>
    <w:p>
      <w:r>
        <w:t>26. And concludes that:</w:t>
      </w:r>
    </w:p>
    <w:p>
      <w:r>
        <w:t>(i). “In light of all the above, it cannot be considered that the recommendation of a resale price by IFC can be regarded as equivalent to the fixing of a resale price either in light of the price list or the position of IFC in any of the possible markets.</w:t>
      </w:r>
    </w:p>
    <w:p>
      <w:r>
        <w:t>(ii). On the other hand, from the responses received to the information requests sent to other IFC clients, it is evident that they freely determine their prices. Specifically, FARMACIA EN CASA ONLINE states that “in summary, our pricing policy consists of minimizing our cost structure to adjust the selling prices of products based on our competitors' prices.” (folio 118). For its part, EL CORTE INGLÉS asserts that “[CONFIDENTIAL]” (confidential folio 110).</w:t>
      </w:r>
    </w:p>
    <w:p>
      <w:r>
        <w:t>(iii). Furthermore, several price inquiries regarding two products from the cosmetic lines subject to the complaint appear in the file on the complainant's website and two of the consulted online para-pharmacies. In all cases, it is evident that none of the prices match those recommended by IFC for those products, always being lower. Additionally, there is no coincidence among them either (folios 128-133).</w:t>
      </w:r>
    </w:p>
    <w:p>
      <w:r>
        <w:t>(iv). Therefore, there are no indications of price-fixing by IFC aimed at preventing, restricting, or distorting competition, nor that it had such an effect.</w:t>
      </w:r>
    </w:p>
    <w:p>
      <w:r>
        <w:t>Regarding Article 2. LDC</w:t>
      </w:r>
    </w:p>
    <w:p>
      <w:r>
        <w:t>27. It recalls that jurisprudence has established as a prerequisite for an abuse of a dominant position the existence of a dominant position in the defined relevant market. And in this sense, market shares constitute the most important structural indicator for measuring market power, although it is not the only element that should be examined; it is a starting point for any examination, and the Commission, in the Guidelines on Article 82 EC (now Article 102 TFEU), states that companies with shares below 40% in the relevant market are generally not susceptible to exercising market power, with jurisprudence indicating that there is a presumption of the existence of a dominant position when the market share exceeds 50%.</w:t>
      </w:r>
    </w:p>
    <w:p>
      <w:r>
        <w:t>28. In light of IFC's positions in the various possible relevant markets, the Directorate of Investigation assesses that:</w:t>
      </w:r>
    </w:p>
    <w:p>
      <w:r>
        <w:t>∼ “There are no indications that IFC maintains a dominant position in any of the defined possible markets: neither under the broad definition nor under the narrower definition. Indeed, the market shares that IFC holds in these markets, even in the most conservative scenario (the narrow market of oral sun care products), do not exceed 25%.</w:t>
      </w:r>
    </w:p>
    <w:p>
      <w:r>
        <w:t>∼ In all these markets for topical and non-oral products, there are numerous competitors, several of which have shares significantly higher than those of IFC. As previously noted, among these competitors are groups with a strong presence such as ISDIN, AVÈNE, VICHY, or LA ROCHE POSAY, to name just a few that are traditionally present in pharmacies and para-pharmacies.</w:t>
      </w:r>
    </w:p>
    <w:p>
      <w:r>
        <w:t>∼ “Since there is no dominant position, it is unnecessary to analyze the alleged abuse by IFC. In any case, there are also no indications of IFC applying an unequal trading relationship with online para-pharmacies compared to others.</w:t>
      </w:r>
    </w:p>
    <w:p>
      <w:r>
        <w:rPr>
          <w:b/>
        </w:rPr>
        <w:t>[Pages 10–12]</w:t>
      </w:r>
    </w:p>
    <w:p>
      <w:r>
        <w:t>NATIONAL COMPETITION COMMISSION</w:t>
      </w:r>
    </w:p>
    <w:p>
      <w:r>
        <w:t>competitors in physical sales, as the promotional packs are offered together in the price lists of all products regardless of whether the distributor resells them in a physical establishment or online, and no special conditions are requested for their free acceptance by the establishment. Likewise, the online para-pharmacies from which information has been requested have stated that they receive promotional packages, so there would be no indications of discrimination between online channels and physical sales as reported by FARMA DESCUENTO.</w:t>
      </w:r>
    </w:p>
    <w:p>
      <w:r>
        <w:t>∼ In any case, from the information in the file, it is inferred that IFC's products can be obtained both directly and through wholesalers. Additionally, no other para-pharmacy consulted (which the complainant claims have been subject to the same practices by IFC) states that they have experienced supply refusals, and on the contrary, there is confirmation of a good mutual commercial relationship.</w:t>
      </w:r>
    </w:p>
    <w:p>
      <w:r>
        <w:t>29. Consequently, it concludes that: “In light of all the above, it is concluded that there are no indications of infringement of Article 2 of the LDC.”</w:t>
      </w:r>
    </w:p>
    <w:p>
      <w:r>
        <w:t>30. For all the above reasons, the Directorate of Investigation, in accordance with the provisions of Article 49.3 of Law 15/2007, of July 3, on the Defense of Competition, proposes to the Council “the non-initiation of the sanctioning procedure, as well as the filing of the actions taken as a result of the complaint filed by FARMA DESCUENTO S.L., considering that there are no indications of infringement of the aforementioned Law.”</w:t>
      </w:r>
    </w:p>
    <w:p>
      <w:r>
        <w:t>31. The Council deliberated and issued this resolution on December 28, 2011.</w:t>
      </w:r>
    </w:p>
    <w:p>
      <w:r>
        <w:t>LEGAL GROUNDS</w:t>
      </w:r>
    </w:p>
    <w:p>
      <w:r>
        <w:t>FIRST.- Sole</w:t>
      </w:r>
    </w:p>
    <w:p>
      <w:r>
        <w:t>FARMA DESCUENTO has reported IFC to the CNC for conduct that could infringe competition regulations. This resolution must analyze whether there are indications of infringement in the reported conduct that justify the initiation of a sanctioning procedure through the corresponding initiation of a sanctioning file, or conversely, in the absence of such indications, the filing of the actions taken so far is appropriate.</w:t>
      </w:r>
    </w:p>
    <w:p>
      <w:r>
        <w:t>According to the complainant, FARMA DESCUENTO, the defendant, IFC, would be forcing FARMA DESCUENTO and other e-commerce sellers to resell its products at a fixed minimum price, ceasing to supply them with its products if they are sold below 15% less than the recommended price. If such conduct were indicated, it could constitute an infringement of those contemplated in Article 1.1 a) LDC, which “prohibits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 a) The direct or indirect fixing of prices or other commercial or service conditions (...).”</w:t>
      </w:r>
    </w:p>
    <w:p>
      <w:r>
        <w:t>We are faced with a vertical relationship between the complainant and the defendant, IFC, in which, according to the complainant, IFC would be imposing resale prices by preventing the complainant from selling its products below 15% of the price recommended by it. Whether a particular vertical agreement restricts competition or not will often depend on its structure and, in any case, on whether it contains particularly serious restrictions. In order to facilitate the analysis of the anticompetitive effects of vertical agreements, EU Regulation 330/2010 of the Commission (on “Vertical Restrictions”) and the Guidelines on vertical restrictions (2010/C 130/01) develop the elements to be assessed in each specific case. The regulation establishes in its Article 4.a) that when a recommended price amounts to a “fixed or minimum sale price as a result of pressures or incentives from either party,” the exemption from the applicability of Article 101 TFEU to that agreement, provided for in Article 2, shall not apply, regardless of its market structure. Such would be the case if the complaint raised in this case were to be substantiated. The facts investigated by the Directorate of Investigation do not show indications that such price fixing is being carried out by IFC, despite the complaint. There is no contractual relationship containing clauses for setting a minimum price, so such a policy, if it exists, must be substantiated based on other circumstantial elements, which are not present in this case. The Directorate of Investigation has directed information requests to other retail distributors of the products subject to the complaint, which, according to the complainant, would be subject to the same conduct, and from their responses, the existence of indications of such conduct cannot be deduced. The Directorate of Investigation has made some comparisons of the prices offered online with the prices recommended by IFC, observing that some of the prices offered are lower than the recommended price by more than 15%. Nor has the complainant provided, apart from their statements, any indication that IFC has pressured or incentivized them to sell their products at a price set by IFC. Consequently, the Council does not perceive the existence of indications of such conduct.</w:t>
      </w:r>
    </w:p>
    <w:p>
      <w:r>
        <w:t>In the absence of a particularly serious restriction such as this, it would be appropriate to analyze the anticompetitive effects of the other reported conduct based on market structure. The market shares shown above indicate that IFC has a share of less than 15% in all the more narrowly defined markets, except for oral sun care products, so it cannot be appreciated that there is a distortion of competition arising from IFC's conduct. Regarding oral sun care products, and assuming that these products constitute a relevant market in themselves, the share is below 30% of the market, with no indications that the complainant or other consulted retail distributors are subject to any of the obligations of Article 5 of the aforementioned Community regulation.</w:t>
      </w:r>
    </w:p>
    <w:p>
      <w:r>
        <w:t>With respect to the analysis of a possible abusive conduct due to discrimination, also contained in the complaint, due to refusal of supply and discrimination between traditional sales establishments and electronic sales, of all the products included in the complaint, and opting for the narrowest delimitations of the relevant market, IFC would hold its largest market share in the case of oral sun care products, which is 22.3%. This share is not of a sufficient dimension to proceed with an analysis of infringement of abuse of dominant position, as it does not show indications that such a dominant position exists, a requirement that, as the Directorate of Investigation recalls, is essential as the first element of the infringing type regulated in Article 2 LDC.</w:t>
      </w:r>
    </w:p>
    <w:p>
      <w:r>
        <w:t>For all the above reasons, the Council, not perceiving the existence of indications of infringement of the LDC by IFC as a result of the complaint filed by FARMA DESCUENTO before the CNC, considers that Article 49.3 is applicable, and that it is not appropriate to initiate a sanctioning procedure.</w:t>
      </w:r>
    </w:p>
    <w:p>
      <w:r>
        <w:t>For all the above reasons, having regard to the cited provisions and others of general application, this Council</w:t>
      </w:r>
    </w:p>
    <w:p>
      <w:r>
        <w:t>HAS RESOLVED</w:t>
      </w:r>
    </w:p>
    <w:p>
      <w:r>
        <w:t>SOLE.- On the basis of Article 49.3 of Law 15/2007 on the Defense of Competition, not to initiate a sanctioning procedure and to file the actions taken in file S/323/11 INDUSTRIAL FARMACEUTICA CANTABRIA.</w:t>
      </w:r>
    </w:p>
    <w:p>
      <w:r>
        <w:t>Communicate this Resolution to the Directorate of Investigation of the National Competition Commission and notify the interested parties, informing them that there is no administrative appeal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