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https://www.cnmc.es/expedientes/s033411</w:t>
      </w:r>
    </w:p>
    <w:p>
      <w:r>
        <w:t>Pages translated : 10</w:t>
      </w:r>
    </w:p>
    <w:p/>
    <w:p>
      <w:r>
        <w:rPr>
          <w:b/>
        </w:rPr>
        <w:t>[Pages 1–3]</w:t>
      </w:r>
    </w:p>
    <w:p>
      <w:r>
        <w:t>JURISPRUDENCE</w:t>
        <w:br/>
        <w:t>Roj: SAN 1977/2017 - ECLI: ES:AN:2017:1977</w:t>
        <w:br/>
        <w:t>Id Cendoj: 28079230062017100144</w:t>
        <w:br/>
        <w:t>Body: National Court. Administrative Litigation Chamber</w:t>
        <w:br/>
        <w:t>Venue: Madrid</w:t>
        <w:br/>
        <w:t>Section: 6</w:t>
        <w:br/>
        <w:t>Date: 05/18/2017</w:t>
        <w:br/>
        <w:t>Case Number: 274/2014</w:t>
        <w:br/>
        <w:t>Resolution Number:</w:t>
        <w:br/>
        <w:t>Procedure: ORDINARY PROCEDURE</w:t>
        <w:br/>
        <w:t>Reporting Judge: ANA ISABEL RESA GOMEZ</w:t>
        <w:br/>
        <w:t>Type of Resolution: Judgment</w:t>
        <w:br/>
        <w:t>N A T I O N A L C O U R T</w:t>
        <w:br/>
        <w:t>Administrative Litigation Chamber</w:t>
        <w:br/>
        <w:t>SIXTH SECTION</w:t>
        <w:br/>
        <w:t>Case Number: 0000274 / 2014</w:t>
        <w:br/>
        <w:t>Type of Appeal: ORDINARY PROCEDURE</w:t>
        <w:br/>
        <w:t>General Registry Number: 02025/2017</w:t>
        <w:br/>
        <w:t>Plaintiff: FERRER GESTIÓ PROFESIONAL SLP</w:t>
        <w:br/>
        <w:t>Procurator: Mr. VICTOR VENTURINI MEDINA</w:t>
        <w:br/>
        <w:t>Defendant: NATIONAL COMMISSION ON MARKETS AND COMPETITION</w:t>
        <w:br/>
        <w:t>Co-defendant: GENERAL COUNCIL OF OFFICIAL ASSOCIATIONS OF ADMINISTRATIVE MANAGERS OF SPAIN, OFFICIAL COLLEGE OF ADMINISTRATIVE MANAGERS OF CATALONIA, AND OFFICIAL COLLEGE OF ADMINISTRATIVE MANAGERS OF MADRID</w:t>
        <w:br/>
        <w:t>State Attorney</w:t>
        <w:br/>
        <w:t>Reporting Hon. Ms.: Ms. ANA ISABEL RESA GÓMEZ</w:t>
        <w:br/>
        <w:t>J U D G M E N T No.:</w:t>
        <w:br/>
        <w:t>Hon. Mr. President:</w:t>
        <w:br/>
        <w:t>Mr. SANTIAGO PABLO SOLDEVILA FRAGOSO</w:t>
        <w:br/>
        <w:t>Hon. Judges:</w:t>
        <w:br/>
        <w:t>Mr. FRANCISCO DE LA PEÑA ELIAS</w:t>
        <w:br/>
        <w:t>Ms. ANA ISABEL RESA GÓMEZ</w:t>
        <w:br/>
        <w:t>Mr. JOSÉ GUERRERO ZAPLANA</w:t>
        <w:br/>
        <w:t>Mr. RAMÓN CASTILLO BADAL</w:t>
        <w:br/>
        <w:t>Madrid, on the eighteenth of May two thousand seventeen.</w:t>
        <w:br/>
        <w:t>Having seen the administrative litigation appeal no. 274/14 brought before this Sixth Section of the Administrative Litigation Chamber of the National Court by FERRER GESTIÓ PROFESIONAL SLP represented by Procurator Mr. Victor Venturini Medina against the resolution of the Council of the National Commission on Competition (CNMC) dated February 13, 2014 (file NUM000) regarding the complaint filed for alleged restrictive competition practices prohibited by Law 15/2007, of July 3, on the Defense of Competition. The defendant Administration has been represented and defended by the State Attorney, with the General Council of Official Associations of Administrative Managers of Spain, represented by Procurator Ms. Gamazo Trueba, the Official College of Administrative Managers of Catalonia, represented by Procurator Ms. Martín López, and the Official College of Administrative Managers of Madrid, represented by Procurator Mr. Gil de Sagredo Garicano, acting as co-defendants. The amount of the appeal is indeterminate. The reporting judge has been the Hon. Ms. ANA ISABEL RESA GÓMEZ, Magistrate of the Section, who expresses the opinion of the Court.</w:t>
      </w:r>
    </w:p>
    <w:p>
      <w:r>
        <w:t>FACTUAL BACKGROUND</w:t>
        <w:br/>
        <w:t>FIRST: On February 13, 2014, the Council of the National Commission on Markets and Competition issued a resolution in file NUM000, processed by the Investigation Directorate of the CNC following the complaint filed by Mr. Jesús for alleged restrictive competition practices prohibited by Law 15/2007, of July 3, on the Defense of Competition. The aforementioned resolution contains the following dispositive part:</w:t>
        <w:br/>
        <w:t>"SOLE.- Declare the non-initiation of sanctioning proceedings and the filing of the actions, as from the examined behaviors and followed against the General Council of Official Associations of Administrative Managers and the Directorate General of Traffic, no indications of infringement of Articles 1 and 2 of Law 15/2007, of July 3, on the Defense of Competition, nor of Article 16 of Law 3/91, of January 10, on Unfair Competition, are appreciated."</w:t>
      </w:r>
    </w:p>
    <w:p>
      <w:r>
        <w:t>SECOND: On April 21, 2014, the legal representation of the plaintiff filed an administrative litigation appeal against said act before this Administrative Litigation Chamber of the National Court. It was assigned to the Sixth Section where it was admitted for processing, requesting the administrative file. A lawsuit was filed on September 9, 2014, in which the party requested a judgment to annul the contested resolution and order the CNMC to proceed with the initiation of sanctioning proceedings for infringement of Article 1 of the LDC. The State Attorney was summoned to respond to the lawsuit and submitted a document requesting the dismissal of the appeal, although raising a prior inadmissibility cause due to lack of active legitimacy of the appellant, requests that were also reiterated by the co-defendants in their response documents.</w:t>
      </w:r>
    </w:p>
    <w:p>
      <w:r>
        <w:t>THIRD: Given that the proposed evidence was reproduced and after the parties completed the conclusion phase, the proceedings were concluded and pending scheduling for voting and judgment, which took place on May 17, 2017, during which deliberation, voting, and judgment occurred, having observed all legal prescriptions in the processing of this appeal.</w:t>
      </w:r>
    </w:p>
    <w:p>
      <w:r>
        <w:t>LEGAL REASONING</w:t>
        <w:br/>
        <w:t>FIRST: The contested act is a resolution of the Council of the National Commission on Competition, which under the provisions of Article 49.3 of Law 15/2007 agrees not to initiate a sanctioning procedure and to file the actions followed by the Investigation Directorate, considering that in the facts reported there are no rational indications of the existence of behaviors prohibited by Articles 1 and 2 of the LDC, nor by Article 16 of Law 3/91 on Unfair Competition.</w:t>
      </w:r>
    </w:p>
    <w:p>
      <w:r>
        <w:t>SECOND: The following factual data must be taken into account for the resolution of this litigation:</w:t>
        <w:br/>
        <w:t>1.- The Investigation Directorate, by virtue of the complaint filed by the plaintiff, against the General Council of Official Associations of Administrative Managers of Spain; the Official College of Administrative Managers of Catalonia; and the Directorate General of Traffic, for possible infringement of Article 16 of Law 3/1991, of January 10, on Unfair Competition; Articles 1 and 2 of Law 15/2007, of July 3, on the Defense of Competition, carried out under the provisions of Article 49 of the LDC, a reserved information request requiring information from both the complainant and the Directorate General of Traffic and the General Council, breaking down the information in the file into two different actions, namely:</w:t>
        <w:br/>
        <w:t>The actions carried out by the General Council of Official Associations of Administrative Managers of Spain and the Directorate General of Traffic, regarding the Agreement signed in relation to the electronic processing of registrations, under the competence of the CNMC.</w:t>
        <w:br/>
        <w:t>The actions carried out by the Official College of Administrative Managers of Catalonia, under the competence of the competition defense bodies of the Autonomous Community of Catalonia to which the actions were referred.</w:t>
        <w:br/>
        <w:t>2.- The Investigation Directorate on January 31, 2012, submitted to the Council of the National Commission on Competition a Proposal for Filing of the actions, considering that there were no indications of infringement of Law 15/2007 and specifically considering that "the Directorate General of Traffic implemented the electronic registration system articulated through the General Council and the Territorial Colleges, in the exercise of the competences legally attributed to it regarding the registration of motor vehicles" and "that such conduct would constitute an administrative action, the assessment of which would correspond to the contentious-administrative jurisdiction." Furthermore, "it highlighted that the system articulated by the Directorate General of Traffic for the registration of vehicles would be justified for reasons of safety, organization, and service to the citizen," adding that "there were two alternative channels to the electronic one for registering a vehicle: the in-person channel, which is accessible to any natural or legal person (including administrative managers); and the two-dimensional mark only accessible to administrative managers." Lastly, and no less importantly, "the ultimate goal was to facilitate the electronic access of all citizens to all traffic procedures as soon as the development of the necessary technology by other Public Administrations allowed it."</w:t>
      </w:r>
    </w:p>
    <w:p>
      <w:r>
        <w:t>3.- The Council of the National Commission on Competition, on April 24, 2012, in view of the Proposal for Filing, agreed to return the file to the Investigation Directorate so that "in accordance with what is stated in the Second Legal Basis, it continues the processing," considering "necessary, before being able to pronounce on the Proposal for Filing, to carry out a joint analysis of the design of the system established in the AGREEMENT and its application," highlighting that "without prejudice to the competence and capacity of the Directorate General of Traffic to establish collaboration with third parties and through agreements, systems, and procedures that improve and facilitate the exercise of the competences entrusted to it by Law, it is necessary to analyze how the collective of administrative managers, through the agreement between the General Council and the Territorial Colleges articulates the reservation of activity granted to it by the AGREEMENT, since it may introduce restrictions on competition that are not necessary and proportionate to obtain the efficiencies that the AGREEMENT supposedly generates." It also "highlighted that the technical and safety specifications that, according to the explanations of the Directorate General of Traffic, the system designed by it requires, do not appear in the file, so it could not assess whether the limitations for accessibility to the electronic vehicle registration system such as double control and, particularly, those related to the obligation to go through the Territorial College to which the administrative manager is assigned, are implicit in the design of the system or, on the contrary, are related to the application of the AGREEMENT by the General Council and the Territorial Colleges of Administrative Managers and whether they are necessary and proportionate."</w:t>
      </w:r>
    </w:p>
    <w:p>
      <w:r>
        <w:t>4.- Consequently, on November 13, 2012, the Investigation Directorate directed a new request to the Directorate General of Traffic to provide information on: 1.- The reasons justifying the obligation for administrative managers to go to the centralized services of the Colleges for the electronic processing of traffic files; 2.- A detailed explanation of the specific actions carried out in the electronic registration process; 3.- The updated version of the document "Electronic Registration. Requirements of the platforms of the Colleges of Managers"; 4.- On the phase in which the implementation of electronic registration stands; 5.- On the custody and submission regime of documentation to the Provincial Traffic Headquarters; and 6.- On the existence of other procedures different from vehicle registration that administrative managers can carry out electronically. After the response given, the Investigation Directorate, on July 25, 2013, submitted to the Council of the National Commission on Competition, now both extinct, a PROPOSAL for non-initiation of the sanctioning procedure, as well as the filing of the actions followed as a result of the complaint filed on behalf of the Commercial Company "Ferrer Gestió Professional, S.L.P." against the General Council of Official Associations of Administrative Managers of Spain and the Directorate General of Traffic "for considering that there are no indications of infringement of Law 15/2007, of July 3, on the Defense of Competition," in accordance with the provisions of Article 49.3 in relation and concordance with the provisions of Article 27 of Royal Decree 261/2008 on the Defense of Competition.</w:t>
      </w:r>
    </w:p>
    <w:p>
      <w:r>
        <w:t>5.- Dissatisfied with this, the plaintiff formulates the present litigation.</w:t>
      </w:r>
    </w:p>
    <w:p>
      <w:r>
        <w:t>THIRD: The first issue to be analyzed is related to the lack of active legitimacy of the appellant to appeal a filing decision, in its capacity as complainant. Regarding the issue of the active legitimacy of the appellant, the Supreme Court has indicated that: "Already with the Law of this jurisdiction of December 27, 1956 (BOE of December 26), the procedural prerequisites were contemplated not as mere formal requirements of the process in themselves, but as the channel and path to ensure the guarantees of a correct resolution of the litigation. Interpretations were set aside.</w:t>
      </w:r>
    </w:p>
    <w:p>
      <w:r>
        <w:rPr>
          <w:b/>
        </w:rPr>
        <w:t>[Pages 4–6]</w:t>
      </w:r>
    </w:p>
    <w:p>
      <w:r>
        <w:t>JURISPRUDENCE</w:t>
        <w:br/>
        <w:t>rigid and formalistic interpretations detached from a teleological interpretation of the norms disconnected from the general interest debated and deserving of judicial protection; not in vain did its statement of reasons say that "formal requirements are instituted to ensure the accuracy of judicial decisions and their conformity with justice, not as obstacles to be overcome to achieve its realization [...]". The current Law 29/1998, of July 13, regulating the Contentious-Administrative Jurisdiction, delves into the anti-formalism that jurisprudence highlighted in the context of the interpretation of the 1956 Law, already under the protection of the new constitutional text. Its statement of reasons reminded that "The reform combines the measures that guarantee the material fullness of judicial protection in the contentious-administrative order and the favorable criterion for the exercise of actions and appeals and for the defense of the parties, without any concession to formalist temptations, with the aim of speeding up the resolution of disputes. The concern to achieve a balance between the guarantees, both of the public and private rights and interests at stake and the accuracy and quality of judicial decisions, with the speed of processes and the effectiveness of what has been judged constitutes one of the axes of the reform".</w:t>
      </w:r>
    </w:p>
    <w:p>
      <w:r>
        <w:t>Thus, active legitimacy becomes a key piece in the interpretation of our procedural law, supporting the right to effective judicial protection enshrined in Article 24.1 and 2 of the Constitution. However, it is a right of legal configuration, so "the assessment of when a legitimate interest exists, and therefore the active legitimacy to appeal in contentious-administrative proceedings, is, in principle, a matter of ordinary legality that falls to the judicial bodies under Article 117.3 CE", [among others (SSTC 47/1988, of March 21, FJ 4; 93/1990, of May 23, FJ 3; 143/1994, of May 9, FJ 3; 252/2000, of October 30, FJ 2; 45/2004 and 112/2004, of July 12, FJ 3; and 173/2004, of October 18, FJ 3)]. Therefore, the right to effective judicial protection pivots around the concept of active legitimacy as a prerequisite for access to the judicial bodies; in such a way that, under this institute, it is specified that a certain legal situation is susceptible to being protected by judges, through the corresponding action initiated in the process.</w:t>
      </w:r>
    </w:p>
    <w:p>
      <w:r>
        <w:t>Since the issue of legitimacy involves access to jurisdiction, it must deploy with "its maximum effectiveness the pro actione principle, requiring that judicial bodies, when interpreting the legally established procedural requirements, take into account the ratio of the norm, in order to avoid that mere formalities or unreasonable understandings of procedural norms prevent a judgment on the substance of the matter, violating the demands of the principle of proportionality". (SSTC 220/2003, of December 15, FJ 3, and 173/2004, of October 18, FJ 3).</w:t>
      </w:r>
    </w:p>
    <w:p>
      <w:r>
        <w:t>It is worth recalling that the catalog outlined in Article 19 of the LJCA distinguishes between active legitimacy, in general, with the concurrence of a legitimate right and interest, and other types of legitimations such as corporate legitimacy, the legitimacy of the Administrations, and that corresponding to the Public Prosecutor's Office.</w:t>
      </w:r>
    </w:p>
    <w:p>
      <w:r>
        <w:t>Active legitimacy, from the first section of the aforementioned article, is configured as a quality that enables natural or legal persons to act as a plaintiff in a specific process; and is generally linked to the relationship that mediates with the object of the claim made in the process. Specifically, it is conditioned to the ownership of a legitimate right or interest whose protection is sought, as has been expressed, among others, in the SsTS of December 23, 2011 (cassation 3381/08, FJ 5), December 16, 2011 (cassation 171/2008, FJ 5), or January 20, 2012 (cassation 856/08, FJ 3).</w:t>
      </w:r>
    </w:p>
    <w:p>
      <w:r>
        <w:t>Despite the broader scope of legitimate interest compared to direct interest, it must refer in any case to an interest in the proper sense, qualified or specific and distinct from mere interest in legality. For this reason, emphasis is placed on the univocal relationship between the subject and the object of the claim, in such a way that active legitimacy entails that the annulment of the contested act or provision produces a positive effect (benefit) or avoids a negative one (harm), current or future but certain. It is required that the resolution or administrative provision can directly or indirectly, or in the future, but in an effective and accredited manner, not merely hypothetical, impact the legal sphere of the one challenging it, without the mere abstract and general invocation or the mere possibility of its occurrence being sufficient; among others, the STS of November 16, 2011 (cassation 210/10, FJ 4).</w:t>
      </w:r>
    </w:p>
    <w:p>
      <w:r>
        <w:t>The study of legitimacy has distinguished between the so-called "ad processum" legitimacy and "ad causam" legitimacy. The former is identified with the ability to promote the activity of the decision-making body, that is, with the generic aptitude to be a party in any process, being identified with legal capacity or personality, because every person, by the mere fact of being one, is the holder of rights and obligations and may find themselves in need of defending them. Distinct from the previous one is "ad causam" legitimacy, as a concrete manifestation of the aptitude to be a party in a specific process, therefore depending on the procedural claim exercised by the actor. It constitutes the proper manifestation of legitimacy and focuses on the special relationship between a person and a legal situation in dispute, by virtue of which that person can intervene as an actor or defendant in a specific litigation. This suitability derives from the substantive issue to be discussed in the process; it is, therefore, that procedural issue more linked to substantive law, which is regarded more as a substantive issue and not merely procedural, as we have pointed out in the SsTS of January 20, 2007 (cassation 6991/03, FJ 5), June 6, 2011 (cassation 1380/07, FJ 3), or October 1, 2011 (cassation 3512/09, FJ 6).</w:t>
      </w:r>
    </w:p>
    <w:p>
      <w:r>
        <w:t>The general rule for active legitimacy to be recognized for a specific natural or legal person in the filing of a contentious-administrative appeal requires the existence of a legitimate interest, which must be identified at the time of filing each contentious-administrative appeal. However, as an exception, on certain occasions, that specific and concrete legitimate interest that links the appellant with the activity subject to challenge is not required. For example, this legitimating requirement does not apply in some sectoral areas of administrative activity, where any citizen is allowed to file an appeal without any additional requirement. This is what is called "popular action" in Article 19.1.h) of the Law of this jurisdiction, and which most of our sectoral laws have traditionally referred to as "public action", so common, for example, in the field of urban planning or in certain cases related to the environment. The constitutional connection of this action is found in Article 125 of our Charter, and requires that a norm with the rank of law expressly recognizes it, with the aim of "strengthening and reinforcing the protection of certain particularly sensitive values, making the defense of them more effective, in the face of the plurality of competing interests", as stated in the SsTS of May 14, 2010 (cassation 2098/06, FJ 5) and June 6, 2013 (cassation 1542/10, FJ 5). It is considered that the relevance of the interests at stake demands a more vigorous and effective protection than that which can be provided by the action of the affected individuals. Therefore, any citizen who simply seeks to ensure that the law is observed and complied with can act, as long as this has been previously recognized. Outside of these expressly recognized and provided cases by law, the presence of a legitimate interest is necessary as an enabling prerequisite to access jurisdiction, in the words of the Constitutional Court "the legitimate interest is characterized as a univocal material relationship between the subject and the object of the claim (contested act or provision), in such a way that its annulment automatically produces a positive effect (benefit) or negative (harm) current or future but certain, this relationship must be understood as referring to an interest in the proper sense, qualified and specific, current and real (not potential or hypothetical). It is the potential ownership of an advantage or legal utility, not necessarily of patrimonial content, by the one exercising the claim, which would materialize if it prospers. Or, in other words, the legitimate interest is any advantage or legal utility derived from the sought reparation [...]", [among others (SsTC 252/2000, of October 30, FJ 3; 173/2004, of October 18, FJ 3; 73/2006, of March 13, FJ 4; and STC 28/2005, of February 14, FJ 3)].</w:t>
      </w:r>
    </w:p>
    <w:p>
      <w:r>
        <w:t>The casuistry and the variety of situations that legal reality can present require a detailed and thorough analysis of each case judged, to discriminate and identify the specific legitimate interest that supports the active legitimacy of the filed appeal, as we have already pointed out in our SsTS of November 12, 2012 (cassation 1817/09, FJ 2) and March 14, 2011 (cassation 4223/08, FJ 2).</w:t>
      </w:r>
    </w:p>
    <w:p>
      <w:r>
        <w:t>Since active legitimacy is, therefore, an eminently casuistic issue, in the field of competition defense, the Supreme Court has also ruled admitting that such legitimacy exists in cases of archiving the sanctioning file in the case of complainants who are interested in obtaining a declaration of the existence of an infringement and who may feel affected by the reported conduct as they have suffered harm derived from it. This is the case of the appellant, Administrative Manager, as they attribute to the reported conduct that they believe harms them, by establishing mandatory centralized services for administrative managers, for which a fee must be paid for each procedure carried out electronically and reserving the activity carried out by the DGT in favor of the General Council of Official Associations of Administrative Managers of Spain for electronic vehicle procedures, by providing only to it the technical specifications required for such processing.</w:t>
      </w:r>
    </w:p>
    <w:p>
      <w:r>
        <w:t>Therefore, and in line with the doctrine of the STS of March 4, 2014, appeal 1995/2011, which recalls among others, the rulings of this Chamber of April 6, 2009, appeal 169/07, appeal September 26, 2001, appeal 972/98, and that of January 22, 2002, as well as the STS of December 4, 2012, cassation appeal 3446/09, January 30, 2008, cassation appeal 548/2002 and May 4, 2007, cassation appeal 1890/2002, we must admit that the plaintiff has active legitimacy to challenge the resolution of the Competition Chamber examined today dated February 13, 2014, as it affects the legal sphere of interests of the plaintiff, as argued, thus rejecting the claim of inadmissibility raised.</w:t>
      </w:r>
    </w:p>
    <w:p>
      <w:r>
        <w:t>FOURTH: And regarding the substance, the plaintiff alleges as the basis for their annulment claim that the reported facts infringe Article 1 of the LDC as the restrictions arising from the application of the management mandate signed between the DGT and the Council are contrary to said precept, lack legal support, and are disproportionate.</w:t>
      </w:r>
    </w:p>
    <w:p>
      <w:r>
        <w:t>The facts reported by the plaintiff, which they consider contrary to Article 1 of the LDC, were as follows:</w:t>
      </w:r>
    </w:p>
    <w:p>
      <w:r>
        <w:t>1.- The establishment by the General Council of Official Associations of Administrative Managers of Spain of mandatory centralized services for administrative managers, for which a fee must be paid to the Council for each procedure carried out electronically, in addition to the fee already established for each procedure by each Association, with the Directorate General of Traffic being a co-participant in this practice.</w:t>
      </w:r>
    </w:p>
    <w:p>
      <w:r>
        <w:t>2.- The reservation by the Directorate General of Traffic to the General Council of Official Associations of Administrative Managers of Spain of the management of electronic vehicle procedures, by providing only to it the technical specifications required for such processing; as well as the possibility of connecting with the Directorate General of Traffic.</w:t>
      </w:r>
    </w:p>
    <w:p>
      <w:r>
        <w:t>The plaintiff understands that with these practices, it prevents the members who wish to carry out an activity inherent to their profession, such as promoting, requesting, or carrying out all kinds of procedures before the Administration.</w:t>
      </w:r>
    </w:p>
    <w:p>
      <w:r>
        <w:t>For its part, the DI bases the proposal for archiving on the following considerations, which the Council assumes: "Taking into account the facts described in this Proposal, the Investigation Directorate considers that there are currently objective circumstances that justify the establishment of the system in the terms in which it has been configured by the DGT. Indeed, until the development of the necessary technology by the different Public Administrations and private entities involved in the registration process allows it, access to electronic registration cannot be extended to users other than administrative managers and their Associations, as it is their capacity for verification and the assumption of responsibility in the verification of the required documentation and its custody that has allowed the implementation of electronic processing at this first level.</w:t>
      </w:r>
    </w:p>
    <w:p>
      <w:r>
        <w:t xml:space="preserve">Likewise, the limitations arising from the double control (requirement of double signature, from the administrative manager and the corresponding Association) are justified by the security and organizational reasons described above: </w:t>
        <w:br/>
        <w:t xml:space="preserve">- Security reasons: as has been explained, the registration of vehicles requires the submission of very varied documentation to prove compliance with the obligations required, and to date only some of these documentary accreditations have been able to be replaced by electronic means. For this reason, the DGT requires the intervention of the territorial Association that assumes, through this double signature, responsibility for the electronic registration requests. Specifically, that of verifying that the administrative managers have checked that all the requirements that cannot be accredited electronically have been met. </w:t>
        <w:br/>
        <w:t>- Organizational reasons linked to security: since the intervention of the Associations streamlines the functioning of the system by channeling and reviewing all the administrative files processed, preventing the DGT from having to deal individually with each administrative manager, this last scenario would be extremely burdensome due to the limited resources available to the DGT, and would negatively affect the functioning of the system and, ultimately, the service provided to the citizen.</w:t>
      </w:r>
    </w:p>
    <w:p>
      <w:r>
        <w:t>However, it should be noted, as the DGT points out, that the current system of electronic registration is in a transitional situation, with the ultimate goal of it being that in the near future all citizens can access this procedure. Evidence of the effort that the DGT is making for this is that there are increasingly more procedures that can be carried out directly by citizens electronically, so it can be concluded that the existing restrictions in the registration area are not intended to be permanent.</w:t>
      </w:r>
    </w:p>
    <w:p>
      <w:r>
        <w:t>All this without forgetting that there are two alternative channels to electronic means for registering a vehicle: the in-person channel, which is accessible to all natural or legal persons (including administrative managers), and the two-dimensional stamp, only accessible to administrative managers.</w:t>
      </w:r>
    </w:p>
    <w:p>
      <w:r>
        <w:t>On the other hand, regarding the territorial limitations to this electronic procedure, the Investigation Directorate considers that these are temporary restrictions, motivated by the context in which the regulations regarding registration were initially approved, in which it was carried out exclusively in person. However, currently, as the DGT itself explains, with technological advances these limitations have ceased to make sense. Therefore, in order to eliminate them, the DGT is processing a modification of the corresponding regulations, and while this is being carried out, it has provisionally removed the geographical barriers to this procedure.</w:t>
      </w:r>
    </w:p>
    <w:p>
      <w:r>
        <w:t>2º Regarding the fees that an administrative manager must pay to carry out an electronic registration procedure, it should be noted that the territorial Associations have opted to develop their own platform or have purchased one of those developed by other Associations. For its part, the Council oversees the SEA platform that communicates with the DGT. All these platforms must comply with the technical specifications imposed by the DGT, which entails, in addition to the cost of developing or purchasing the platform,</w:t>
      </w:r>
    </w:p>
    <w:p>
      <w:r>
        <w:rPr>
          <w:b/>
        </w:rPr>
        <w:t>[Pages 7–9]</w:t>
      </w:r>
    </w:p>
    <w:p>
      <w:r>
        <w:t>JURISPRUDENCE</w:t>
        <w:br/>
        <w:t>some control and validation expenses. This is why this Investigation Directorate considers it justified that, along with the fee from the DGT provided by law, all administrative managers, without distinction, pay a fee to the Council and another to the corresponding College."</w:t>
      </w:r>
    </w:p>
    <w:p>
      <w:r>
        <w:t>The State Attorney and the co-defendants consider that the initiation of a sanctioning procedure is a discretionary power of the Administration and that in the case at hand, the decision to archive is sufficiently motivated.</w:t>
      </w:r>
    </w:p>
    <w:p>
      <w:r>
        <w:t>FIFTH: The issue that must be addressed in this case is related to delineating the obligations of the competition authority when a natural or legal person files a complaint for anti-competitive practices, and more specifically, whether there is an obligation on the part of that administration to investigate, the course that should be given to each complaint regarding the substance, and the extent of judicial control in these cases.</w:t>
      </w:r>
    </w:p>
    <w:p>
      <w:r>
        <w:t>The STPI of September 18, 1992, case T-24/90 Automec, paragraphs 73 to 81, addressed these issues with a doctrine that has remained unchanged over time. For its relevance and applicability to the present matter, paragraphs 73 to 81 of that resolution are reproduced, without the regulatory changes that have occurred since then affecting the essence of the "ratio" of the doctrine contained in the cited resolution:</w:t>
      </w:r>
    </w:p>
    <w:p>
      <w:r>
        <w:t>"73. To define the obligations of the Commission in this context, it must be preliminarily noted that it is responsible for the application and orientation of community competition policy (see the judgment of the Court of Justice, February 28, 1991, Delimitis, C-234/89, Rec. pp. 935 et seq., especially p. 991). This is the reason why paragraph 1 of Article 89 of the Treaty assigns it the mission of ensuring the application of the principles established by Articles 85 and 86 and that the provisions adopted based on Article 87 confer broad powers.</w:t>
      </w:r>
    </w:p>
    <w:p>
      <w:r>
        <w:t>74. The scope of the Commission's powers in the field of competition law must be examined in light of paragraph 1 of Article 89 of the Treaty, which, in this area, constitutes the specific manifestation of the general mission of oversight entrusted to the Commission by Article 155 of the Treaty. However, as the Court of Justice has pointed out within the framework of Article 169 of the Treaty (judgment of February 14, 1989, Star Fruit/Commission, 247/87, Rec. pp. 291 et seq., especially p. 301), this mission does not imply that the Commission is obliged to initiate procedures aimed at proving possible violations of community law.</w:t>
      </w:r>
    </w:p>
    <w:p>
      <w:r>
        <w:t>75. In this regard, the Court of First Instance points out that from the jurisprudence of the Court of Justice (judgment of October 18,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r>
    </w:p>
    <w:p>
      <w: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paragraph 1 of Article 89 of the Treaty, in cases of requests submitted by Member States, Regulations No. 17 and No. 99/63 do not expressly obligate the Commission to initiate investigations into the complaints presented to it.</w:t>
      </w:r>
    </w:p>
    <w:p>
      <w:r>
        <w:t>77. In this regard, it should be noted that it constitutes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the case, especially when an authority has been entrusted with such a broad and general mission of oversight and control as that attributed to the Commission in the field of competition. Therefore, the fact that the Commission grants different degrees of priority to the cases submitted to it in the field of competition rules is in accordance with the obligations imposed on it by community law.</w:t>
      </w:r>
    </w:p>
    <w:p>
      <w:r>
        <w:t>78. This viewpoint is not contrary to the judgments of the Court of Justice, of October 11, 1983 (210/81), previously cited; of March 28, 1985, CICCE (298/93, Rec. p. 1105), and of November 17, 1987, BAT and Reynolds / Commission (joined cases 142/84 and 156/84, Rec. p. 4487). Indeed, in the judgment Demo-Studio Schmidt,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r>
    </w:p>
    <w:p>
      <w: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competition within the common market and affect trade between Member States (see the judgments of the Court of Justice of October 11, 1983, Demo-Studio Schmidt, of March 28, 1985, CICCE, and of November 17, 1987, BAT and Reynolds, previously cited).</w:t>
      </w:r>
    </w:p>
    <w:p>
      <w:r>
        <w:t>80. When, as occurs in the present case, the Commission has adopted a decision to archive the complaint without conducting any investigation, the legality control that this Court must carry out aims to verify that the contested decision is not based on materially inaccurate facts, is not vitiated by any error of law, nor by any manifest error of appraisal or abuse of power.</w:t>
      </w:r>
    </w:p>
    <w:p>
      <w:r>
        <w:t>81. It is up to the Court of First Instance, in light of these principles, to first verify whether the Commission conducted the examination of the complaint to which it was obliged, evaluating, with all necessary attention, the factual and legal elements presented by the complainant in her complaint and, secondly, whether the Commission correctly motivated its decision to archive the complaint, invoking its power to "grant different degrees of priority in the initiation of proceedings on the matters submitted to it," on the one hand, and referring to the community interest of the matter as a criterion of priority, on the other."</w:t>
      </w:r>
    </w:p>
    <w:p>
      <w:r>
        <w:t>SIXTH: The previous doctrine raises and resolves a situation that goes even beyond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can even establish degrees of priority in investigations.</w:t>
      </w:r>
    </w:p>
    <w:p>
      <w:r>
        <w:t>In both cases, the aforementioned decisions, necessarily taken on the basis of a detailed examination of the facts and allegations made by the complainant, are subject to further judicial control, which excludes the assessment of the opportunity in making the decision, as it is limited to verifying that the contested decision is not based on materially inaccurate facts, is not vitiated by any error of law, nor by any manifest error of appraisal, nor by abuse of power.</w:t>
      </w:r>
    </w:p>
    <w:p>
      <w:r>
        <w:t>In the present case, the action of the CNC falls within the first of the options previously contemplated, that is, the obligation to rule on the existence or non-existence of a specific infringement, specifically the infringement incorporated in the LDC.</w:t>
      </w:r>
    </w:p>
    <w:p>
      <w:r>
        <w:t>SEVENTH: The decision to archive the complaint by the CNC is preceded by a preliminary investigation activity carried out by the DI. The CNC fully assumed the facts and the proposal, which conducted an analysis of the reported situation.</w:t>
      </w:r>
    </w:p>
    <w:p>
      <w:r>
        <w:t>The resolution of the CNC contains a sufficient account of the facts, in which no serious inaccuracy causing defenselessness has been revealed, and furthermore, a reasoning that on the one hand allows the appellant to understand the reasons for the denial of her request, enabling the exercise of judicial actions and on the other hand cannot be classified as incurring in a manifest error of appraisal, arbitrariness or constituting an abuse of power, when it states that there are no clear indications of restrictive competition practices.</w:t>
      </w:r>
    </w:p>
    <w:p>
      <w:r>
        <w:t>Indeed, the contested resolution, after stating what the functions of administrative managers are and indicating that as established by its Organic Statute, they actively and massively participate in the request for procedures before the JPT, thereby avoiding the collapse of traffic offices, especially in sensitive procedures for citizens such as legally obtaining a vehicle, highlights that it has been the nature of the mass procedure of registration that has generated an organizational model necessary for daily management in order to expedite its processing, with electronic registration being defined as a system for the automatic obtaining of both the registration itself and the provisional circulation authorization.</w:t>
      </w:r>
    </w:p>
    <w:p>
      <w:r>
        <w:t>It is noted that since 2007 the DGT has been developing the necessary means to allow electronic processing thanks to the proliferation of new technologies, the possibilities of security and efficiency they provide, and compliance with a legal framework generally defined by Law 11/2007, of June 22, on Electronic Access of Citizens to Public Services.</w:t>
      </w:r>
    </w:p>
    <w:p>
      <w:r>
        <w:t>This electronic registration procedure was launched through the Collaboration Agreement for Electronic Administrative Management between the Central Traffic Headquarters and the General Council of Official Colleges of Administrative Managers of Spain, signed in September 2007 (hereinafter the Agreement).</w:t>
      </w:r>
    </w:p>
    <w:p>
      <w:r>
        <w:t>The Agreement is currently still in force as its tacit renewal for annual periods is contemplated and was signed, as stated in its First Clause, with the aim of establishing the basic framework for collaboration between the Traffic Headquarters and the various Official Colleges of Administrative Managers of Spain for the development of electronic actions aimed at facilitating citizens' processing for the issuance or renewal of circulation authorizations for their vehicles, or the registration in the Vehicle Registry of any legally required obligation regarding them. It is not limited to a specific procedure but covers all those under the competence of the DGT that can be processed by administrative managers. It also highlights that it aims to progressively replace the submission by administrative managers of files in PDF format with modern and more suitable IT techniques that avoid the physical displacement of administrative files related to vehicles. The adhesion of each of the territorial Colleges of Administrative Managers to this Agreement is voluntary, as stated in its Second Clause.</w:t>
      </w:r>
    </w:p>
    <w:p>
      <w:r>
        <w:t>The DGT, as we have previously stated, justifies the need for the dual signature of the administrative manager and the corresponding College and, ultimately, their intervention in the procedure, for security and organizational reasons, the latter linked to the existence of the Centralized Services of the Colleges.</w:t>
      </w:r>
    </w:p>
    <w:p>
      <w:r>
        <w:t>Likewise, the DGT indicates that the intervention of the Colleges, through the centralized services, is necessary to ensure better organization of work, especially in cities with a high volume of processing (Madrid, Barcelona, etc.) as they channel and review the administrative files processed by all the registered administrative managers in their province. The DGT states, by way of example, that in the absence of this intervention, in a province like Madrid, 900 managers would individually go to the Traffic Headquarters daily, which would reduce the efficiency of the process and slow down the resolution of files, thereby harming both the Administration and the represented citizen.</w:t>
      </w:r>
    </w:p>
    <w:p>
      <w:r>
        <w:t>The DGT asserts that the advantages derived from the electronic processing system for administrative managers can be summarized as follows:</w:t>
      </w:r>
    </w:p>
    <w:p>
      <w:r>
        <w:t>Immediate obtaining of the registration and a provisional circulation permit, which allows the vehicle to circulate until the definitive one is obtained.</w:t>
      </w:r>
    </w:p>
    <w:p>
      <w:r>
        <w:t>Availability of processing hours, independent of the service hours at the JPT, as the electronic service is open during wider time slots.</w:t>
      </w:r>
    </w:p>
    <w:p>
      <w:r>
        <w:t>Documentary simplification, through the assumption of responsibility by the manager and the College in its verification and custody.</w:t>
      </w:r>
    </w:p>
    <w:p>
      <w:r>
        <w:t>Exponential increase in the security of transactions through the incorporation of filters and validations in the IT system that limit errors and potential fraud to a minimum.</w:t>
      </w:r>
    </w:p>
    <w:p>
      <w:r>
        <w:t>On the other hand, electronic registration entails greater organizational capacity in the JPT that allows for better service and control than the two-dimensional and in-person system for mass registration requests. The DGT also points out that, regarding citizens, although they currently do not have the electronic registration service available, its use also generates indirect advantages for them, given that as it allows for the optimization of material and human resources, the waiting times at the counter have been exponentially reduced. This results in better and greater attention for the individual and the completion of their procedure instantaneously.</w:t>
      </w:r>
    </w:p>
    <w:p>
      <w:r>
        <w:t>It is reported that when a manager wants to process the registration of a vehicle electronically, they must pay the following fees:</w:t>
      </w:r>
    </w:p>
    <w:p>
      <w:r>
        <w:t>To the DGT: The fee provided in Law 16/1979, of October 2, on JCT fees, updated in amount by the corresponding annual Budget Laws, except for those legally excluded.</w:t>
      </w:r>
    </w:p>
    <w:p>
      <w:r>
        <w:t>To the Council: the fee that since 2011 all registered members must pay for each electronic procedure, which amounts to 0.2548 euros. The Council justifies the establishment of this fee due to the need to cover the high control and validation costs established by the DGT for security reasons for the execution of the Agreement nationwide.</w:t>
      </w:r>
    </w:p>
    <w:p>
      <w:r>
        <w:t>To the College: the fee that it charges for the use of its platform. The cost varies depending on each College.</w:t>
      </w:r>
    </w:p>
    <w:p>
      <w:r>
        <w:rPr>
          <w:b/>
        </w:rPr>
        <w:t>[Pages 10–10]</w:t>
      </w:r>
    </w:p>
    <w:p>
      <w:r>
        <w:t>JURISPRUDENCE</w:t>
        <w:br/>
        <w:t>And that there are also two alternatives to electronic processing for vehicle registration, which are in-person and the two-dimensional stamp system. Therefore, we consider that the reasoning provided by the contested resolution agreeing not to initiate sanctioning proceedings and the filing of the actions is justified, it cannot be classified as a manifest error of appreciation, arbitrariness, or constitutive of an abuse of power.</w:t>
      </w:r>
    </w:p>
    <w:p>
      <w:r>
        <w:t>EIGHTH: Finally, the plaintiff cites in support of her claim a judgment issued by this Chamber dated January 30, 2004, appeal 82/2001, dismissing the appeal filed against the resolution that sanctioned the Official College of Administrative Managers of Galicia for having a centralized service responsible for presenting to the Provincial Traffic Headquarters all those files that the members must process, in the exercise of their professional activity, before said body. For the provision of this document submission channeling service, the College charged the administrative managers the amounts of 2,672 pesetas for each registration management, 517 pesetas for transfers, and 108 pesetas for each management of another nature.</w:t>
      </w:r>
    </w:p>
    <w:p>
      <w:r>
        <w:t>It is clear that the sanctioned conduct confirmed by the aforementioned judgment has nothing to do with the facts that the plaintiff reported and that constitute the object of the present appeal, in which the action developed tends to the implementation of the electronic registration procedure without excluding other alternatives, such as in-person or the two-dimensional stamp system, both usable by administrative managers.</w:t>
      </w:r>
    </w:p>
    <w:p>
      <w:r>
        <w:t>NINTH: The above reasoning leads us to dismiss the present appeal and regarding the costs, pursuant to the provisions of Article 139, they are imposed on the appellant, the losing party in this process.</w:t>
      </w:r>
    </w:p>
    <w:p>
      <w:r>
        <w:t>HAVING SEEN the cited precepts and others of general and pertinent application, by the power granted to us by the Constitution:</w:t>
      </w:r>
    </w:p>
    <w:p>
      <w:r>
        <w:t>WE DECREE</w:t>
        <w:br/>
        <w:t>That we must DISMISS AND DISMISS the contentious-administrative appeal filed by the legal representation of FERRER GESTIÓ PROFESIONAL, S.L.P. against the resolution of the Council of the National Commission on Competition (CNC) of February 13, 2014 (file NUM000) to which the claim refers, which we declare to be in accordance with the law. The costs are imposed on the plaintiff.</w:t>
      </w:r>
    </w:p>
    <w:p>
      <w:r>
        <w:t>This judgment, which will be notified in the manner provided for in Article 248 of the Organic Law of the Judiciary, is subject to cassation appeal, which must be prepared before this Chamber within 30 days from the day following its notification; in the preparation document of the appeal, compliance with the requirements established in Article 89.2 of the Jurisdiction Law must be evidenced justifying the objective cassation interest presented.</w:t>
      </w:r>
    </w:p>
    <w:p>
      <w:r>
        <w:t>What we pronounce, order, and sign.</w:t>
      </w:r>
    </w:p>
    <w:p>
      <w:r>
        <w:t>PUBLICATION.- Once the previous resolution is signed and published, it is delivered to this Secretariat for notification to the parties, issuing a literal certification of the same for its attachment to the proceedings.</w:t>
      </w:r>
    </w:p>
    <w:p>
      <w:r>
        <w:t>In Madrid on 24/05/2017,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