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https://www.cnmc.es/expedientes/s033611</w:t>
      </w:r>
    </w:p>
    <w:p>
      <w:r>
        <w:t>Pages translated : 9</w:t>
      </w:r>
    </w:p>
    <w:p/>
    <w:p>
      <w:r>
        <w:rPr>
          <w:b/>
        </w:rPr>
        <w:t>[Pages 1–3]</w:t>
      </w:r>
    </w:p>
    <w:p>
      <w:r>
        <w:t>NATIONAL COMPETITION COMMISSION</w:t>
      </w:r>
    </w:p>
    <w:p>
      <w:r>
        <w:t>RESOLUTION</w:t>
      </w:r>
    </w:p>
    <w:p>
      <w:r>
        <w:t>File S/0336/11 Ink Cartridges</w:t>
      </w:r>
    </w:p>
    <w:p>
      <w:r>
        <w:t>Council</w:t>
      </w:r>
    </w:p>
    <w:p>
      <w: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Mr. Luis Diez Martín, Councilor</w:t>
      </w:r>
    </w:p>
    <w:p>
      <w:r>
        <w:t>In Madrid, on March 13, 2012</w:t>
      </w:r>
    </w:p>
    <w:p>
      <w:r>
        <w:t>The Council of the National Competition Commission, with the composition expressed and being the Rapporteur Councilor Mr. Julio Costas Comesaña, has issued the following Resolution in the reserved information file S/0336/11 initiated ex officio by the Investigation Directorate of the National Competition Commission, at the request of a complaint filed by SEJAÍN GUNEA SL, against DOMINO AMJET IBERICA SA, VIDEOJET TECHNOLOGIES SL, and EBS INK-JET SYSREME GmbH, for alleged restrictive competition practices prohibited by Law 15/2007, of July 3, on the Defense of Competition, consisting of limiting the type of ink cartridges that the machines can use to those marketed by the companies that sell the machines.</w:t>
      </w:r>
    </w:p>
    <w:p>
      <w:r>
        <w:t>FACTUAL BACKGROUND</w:t>
      </w:r>
    </w:p>
    <w:p>
      <w:r>
        <w:t>1. On March 14, 2011, a letter was received at the National Competition Commission (CNC) from Industrias Sejaín Gunea SL (Industrias Sejaín) in which a complaint was filed against the companies DOMINO AMJET IBERICA SA (DOMINO), VIDEOJET TECHNOLOGIES SL (VIDEOJET), and EBS INK-JET SYSREME GmbH (EBS) for alleged restrictive competition practices consisting of limiting free competition and the entry of new operators, preventing customers from changing suppliers in the market for industrial marking printing machines, after having developed illicit methods that prevent the use of other consumables different from those marketed by these manufacturers.</w:t>
      </w:r>
    </w:p>
    <w:p>
      <w:r>
        <w:t>1</w:t>
      </w:r>
    </w:p>
    <w:p>
      <w:r>
        <w:t>NATIONAL COMPETITION COMMISSION</w:t>
      </w:r>
    </w:p>
    <w:p>
      <w:r>
        <w:t>According to the complainant, the facts could constitute a violation of Articles 1, 2.1, and 2.2 a) and b) of Law 15/2007, of July 3, on the Defense of Competition (LDC), as well as Article 101 of the Treaty on the Functioning of the European Union (TFEU).</w:t>
      </w:r>
    </w:p>
    <w:p>
      <w:r>
        <w:t>2. On April 6, 2011, the Investigation Directorate (DI) sent the complainant a written request for correction of the information provided in the complaint, and on May 5, 2011, information requests were sent to two of the accused companies, DOMINO and VIDEOJET. On May 6, 2011, the DI sent the complainant a new information request asking for the corporate name, address, and contact details of the German company EBS, indicating the identification and contact details of its distributor in Spain. After the deadline for response, no reply has been received from the complainant, although informally it has been communicated that they do not have contact details for that company in Spain.</w:t>
      </w:r>
    </w:p>
    <w:p>
      <w:r>
        <w:t>3. On January 19, 2012, in accordance with the provisions of Article 49.3 of Law 15/2007, of July 3, on the Defense of Competition (LDC), the Director of Investigation adopted an Agreement not to initiate the sanctioning procedure, as well as the filing of the proceedings followed, considering that there are no indications of a violation of the aforementioned Law and, consequently, agreed to submit to this Council a Proposal for Filing, along with the complaint and the proceedings carried out to which reference S/0336/11 is assigned, in accordance with the provisions of Article 27 of Royal Decree 261/2008, of February 22, which approves the Regulation on the Defense of Competition (RDC).</w:t>
      </w:r>
    </w:p>
    <w:p>
      <w:r>
        <w:t xml:space="preserve">4. The Proposal for Filing considers the following as REPORTED FACTS:  </w:t>
        <w:br/>
        <w:t xml:space="preserve">The company Industrias Sejaín Gunea SL, with its registered office in Vitoria, filed on March 14, 2011, a complaint against the companies DOMINO, VIDEOJET, and EBS for carrying out practices that totally limit free competition "by preventing the customer from changing suppliers, as those who carry out these practices have devised illicit methods that prevent the use of other consumables other than those marketed by themselves."  </w:t>
        <w:br/>
        <w:t>These alleged illicit methods would consist, according to the complainant, of the encryption of computer codes in the ink cartridges, making it impossible to use third-party inks in the machines manufactured by the three accused. The complainant requests that it be declared proven the use by these companies of methods that limit effective competition in that market.</w:t>
      </w:r>
    </w:p>
    <w:p>
      <w:r>
        <w:t>5. The Proposal for Filing from the DI provides the following description of the complainant and accused companies and the markets in which the reported conduct takes place:</w:t>
      </w:r>
    </w:p>
    <w:p>
      <w:r>
        <w:t>2</w:t>
      </w:r>
    </w:p>
    <w:p>
      <w:r>
        <w:t>NATIONAL COMPETITION COMMISSION</w:t>
      </w:r>
    </w:p>
    <w:p>
      <w:r>
        <w:t xml:space="preserve">THE PARTIES:  </w:t>
        <w:br/>
        <w:t xml:space="preserve">Industrias Sejaín is a national company, with its registered office in Vitoria, and whose corporate purpose is the marketing of industrial services, specifically the marketing and distribution of machinery and special inks for industrial labeling and marking.  </w:t>
        <w:br/>
        <w:t xml:space="preserve">DOMINO is the Spanish subsidiary of the British company DOMINO UK Ltd. Its corporate purpose is the manufacture, marketing, development, maintenance, import/export of electronic equipment, and especially of ink-based coders and printing devices. Some of the technologies it markets include: printing and labeling machines, thermal inkjet printers, dot matrix lasers, controllers, binary technology applied to industrial printing, as well as "aftermarket" products and services (consumables, technical assistance, and spare parts).  </w:t>
        <w:br/>
        <w:t xml:space="preserve">VIDEOJET is the Spanish subsidiary of the American company VIDEOJET TECHNOLOGIES dedicated to the sale of equipment, accessories, and spare parts for electronic printing and industrial marking, including the provision of complementary services. The main products it markets are: small ink injection systems, large ink injection systems, thermal inkjet systems, thermal transfer printers, automatic labeling systems; and finally inks and consumables.  </w:t>
        <w:br/>
        <w:t>EBS is a German company dedicated to the development, manufacture, and marketing of inkjet printers for industrial use and a wide range of inks and dyes used for that purpose. In Spain, it markets and distributes its products through a local distributor.</w:t>
      </w:r>
    </w:p>
    <w:p>
      <w:r>
        <w:t xml:space="preserve">DESCRIPTION OF THE MARKETS:  </w:t>
        <w:br/>
        <w:t xml:space="preserve">Product Market:  </w:t>
        <w:br/>
        <w:t xml:space="preserve">The complainant states in its letter that the accused companies operate in the sector of manufacturing, marketing, and distribution of printing machines and their consumables for use in industrial labeling and marking, and that the industrial marking market is one in which inkjet printers are developed, manufactured, installed, and maintained (repaired) and the necessary consumables are supplied to operate with that type of machines.  </w:t>
        <w:br/>
        <w:t xml:space="preserve">This type of printers print on multiple surfaces made of very diverse materials, and allow, among other things: i) the printing of barcodes, ii) data transmitted from a computer, iii) product numbering, iv) printing of batches to ensure the traceability of manufactured products, and v) the printing of logos to identify the brand on the product.  </w:t>
        <w:br/>
        <w:t>3</w:t>
      </w:r>
    </w:p>
    <w:p>
      <w:r>
        <w:rPr>
          <w:b/>
        </w:rPr>
        <w:t>[Pages 4–6]</w:t>
      </w:r>
    </w:p>
    <w:p>
      <w:r>
        <w:t>NATIONAL COMPETITION COMMISSION</w:t>
      </w:r>
    </w:p>
    <w:p>
      <w:r>
        <w:t>The materials that can be printed on are those used as packaging, containers, packages, and containers for various products such as paper, plastic, metal, glass, ceramics, wood, and leather.</w:t>
      </w:r>
    </w:p>
    <w:p>
      <w:r>
        <w:t>In file N-06099 Dover/Markem of the defunct Competition Defense Service, the economic concentration operation was examined, consisting of the acquisition by Dover Technologies of Markem, with both companies operating in the relevant market of manufacturing and marketing industrial coding equipment and marking systems for product identification and accessory supplies, also known as IPI systems.</w:t>
      </w:r>
    </w:p>
    <w:p>
      <w:r>
        <w:t>In the absence of national and community precedents, the aforementioned file referred to the analysis conducted by the British Office of Fair Trade (OFT), which left the definition of the product market open but identified four categories of marking printing equipment according to the developed technology: (i) inkjet printers; (ii) laser printers; (iii) thermal printers; and (iv) contact printers (Decision of December 21, 2004, regarding the acquisition of Linx Printing by Danaher Corporation).</w:t>
      </w:r>
    </w:p>
    <w:p>
      <w:r>
        <w:t>The OFT studied the existing competition between two types of printers, inkjet and laser, concluding that, in general, both were substitutable in a high number of applications, with inkjet being the most versatile and widely available, which allowed for defining broader markets than those referred to each technology in particular.</w:t>
      </w:r>
    </w:p>
    <w:p>
      <w:r>
        <w:t>In the case of the aforementioned national file N-06099, the notifier estimated that "consumables, spare parts, and accessory services cannot be considered separate product markets with respect to printing equipment," without further evaluation or examination. Although the defunct Competition Defense Service did not close the definition of the market, it analyzed the impact of the operation on the market for industrial coding equipment and marking systems for product identification and accessory supplies.</w:t>
      </w:r>
    </w:p>
    <w:p>
      <w:r>
        <w:t>On the other hand, doctrinally, a distinction has been made between a primary market and an aftermarket (the market for consumables for printers in this case), which, although interrelated, are different, although there have been studies that consider both markets as a "system," that is, an integrated whole in which actions and behavior are mutually influenced.</w:t>
      </w:r>
    </w:p>
    <w:p>
      <w:r>
        <w:t>The primary market corresponds to durable goods/capital goods, while the secondary market for consumables encompasses products and services of limited duration, complementary to the goods of the primary market.</w:t>
      </w:r>
    </w:p>
    <w:p>
      <w:r>
        <w:t>The close relationship between both markets causes what economists call the "waterbed effect," in which a lower price and strong competition in the primary or basic market is compensated by a higher relative price in the secondary market where competition is very reduced or, in some cases, nonexistent (In the 2010 Annual Accounts Report of Domino, it is indicated that "In 2010, more than 60% of the group's revenues correspond to products and services from the aftermarket market").</w:t>
      </w:r>
    </w:p>
    <w:p>
      <w:r>
        <w:t>In the EFIM case, the European Commission pointed out the consolidated criterion of considering the market for the supply of toners or other consumables for a specific brand of printers as a separate market, although directly linked to the primary market (Decision COMP/C_3/39.391 EFIM in which the Commission refrained from investigating a complaint regarding the use of microchips that reduced the possibilities of reusing cartridges, accusing several printer manufacturers (HP, Lexmark, Epson, and Canon) of violating the current Articles 101 and 102 of the TFEU, confirmed by Judgment of the General Court of November 24, 2011, Case T-296/09, EFIM).</w:t>
      </w:r>
    </w:p>
    <w:p>
      <w:r>
        <w:t>Therefore, although the national precedent analyzed the broad market due to the absence of competition problems arising from the notified concentration operation, to investigate the behavior of operators in these markets, a primary market for the manufacturing and sale of industrial marking printers and a secondary market for consumables that is part of a broader aftermarket segment could be distinguished for the purposes of the present proceedings, which would also include maintenance services and spare parts, but closely linked to the primary market.</w:t>
      </w:r>
    </w:p>
    <w:p>
      <w:r>
        <w:t>According to data provided by one of the accused companies, DOMINO, the market shares in the primary market for the manufacturing and marketing of industrial marking printers in Spain would be as follows:</w:t>
      </w:r>
    </w:p>
    <w:p>
      <w:r>
        <w:t>Table I:</w:t>
        <w:br/>
        <w:t>SHARES IN SPAIN IN THE MARKET FOR MANUFACTURING AND MARKETING OF INDUSTRIAL MARKING PRINTERS</w:t>
      </w:r>
    </w:p>
    <w:p>
      <w:r>
        <w:t>COMPANY 2008 2009 2010</w:t>
        <w:br/>
        <w:t>MARKEM-I MAJ E [30%-40%] [30%-40%] [30%-40%]</w:t>
        <w:br/>
        <w:t>VIDEOJET [20%-30%] [20%-30%] [20%-30%]</w:t>
        <w:br/>
        <w:t>DOMINO [10%-20%] [10%-20%] [10%-20%]</w:t>
        <w:br/>
        <w:t>OTHERS [10%-20%] [10%-20%] [20%-30%]</w:t>
      </w:r>
    </w:p>
    <w:p>
      <w:r>
        <w:t>Source: Internal estimates of Domino</w:t>
      </w:r>
    </w:p>
    <w:p>
      <w:r>
        <w:t>However, the shares provided by VIDEOJET in response to the information request made by the DI show clear differences with the shares provided by DOMINO. Firstly, they are expressed in ranges, which makes it very difficult to establish what the true market share of each company is, and secondly, there are significant differences with the percentages of the shares provided by DOMINO. Nevertheless, VIDEOJET's estimates include a greater relationship of manufacturers/suppliers, which allows for a richer and more nuanced picture of the market, with a considerable number of companies operating in the EEA market, as well as a reasonable number in the Spanish market:</w:t>
      </w:r>
    </w:p>
    <w:p>
      <w:r>
        <w:t>Table II:</w:t>
        <w:br/>
        <w:t>SHARES IN SPAIN AND IN THE EEA IN THE MARKET FOR MANUFACTURING AND MARKETING OF INDUSTRIAL MARKING PRINTERS</w:t>
      </w:r>
    </w:p>
    <w:p>
      <w:r>
        <w:t>COMPANY EEA SPAIN</w:t>
        <w:br/>
        <w:t>MARKEM-I MAJ E 10%-15% 10%-15%</w:t>
        <w:br/>
        <w:t>VIDEOJET 10%-15% 10%-15%</w:t>
        <w:br/>
        <w:t>DOMINO 10%-15% 10%-15%</w:t>
        <w:br/>
        <w:t>LINX 5%-10%</w:t>
        <w:br/>
        <w:t>HITACHI 0%-5% 5%-10%</w:t>
        <w:br/>
        <w:t>MACSA 0%-5% 5%-10%</w:t>
        <w:br/>
        <w:t>EBS 0%-5% 0%-5%</w:t>
        <w:br/>
        <w:t>METRONIC 0%-5% 0%-5%</w:t>
        <w:br/>
        <w:t>ROFIN SINAR 0%-5%</w:t>
        <w:br/>
        <w:t>ILLINOIS TOOL 0%-5%</w:t>
        <w:br/>
        <w:t>WORKS</w:t>
        <w:br/>
        <w:t>ZANASI 0%-5%</w:t>
        <w:br/>
        <w:t>ALLEN 0%-5%</w:t>
        <w:br/>
        <w:t>HAS 0%-5%</w:t>
        <w:br/>
        <w:t>APS 0%-5%</w:t>
        <w:br/>
        <w:t>TRUMPF 0%-5%</w:t>
        <w:br/>
        <w:t>LOGOPACK 0%-5%</w:t>
        <w:br/>
        <w:t>FOTONICA 0%-5%</w:t>
      </w:r>
    </w:p>
    <w:p>
      <w:r>
        <w:t>Source: Internal estimates of VIDEOJET</w:t>
      </w:r>
    </w:p>
    <w:p>
      <w:r>
        <w:t>Geographic Market:</w:t>
        <w:br/>
        <w:t>Regarding the geographic market, it would be, at least, of community dimension in both markets (primary and aftermarket), due to the low cost of transportation in relation to the price of the marketed products, and the need for their marketing on a larger scale than the national market to achieve minimum efficiency levels.</w:t>
      </w:r>
    </w:p>
    <w:p>
      <w:r>
        <w:t>This definition of the geographic market is in line with what the notifier indicated in the aforementioned national file N-06099, which additionally justified it by the absence of significant barriers to entry in that market and by the presence of multinational operators that establish their commercial policies at the community level.</w:t>
      </w:r>
    </w:p>
    <w:p>
      <w:r>
        <w:t>6. The Council of the National Competition Commission deliberated on the Proposal for Filing and issued this Resolution at its meeting on February 22, 2012.</w:t>
      </w:r>
    </w:p>
    <w:p>
      <w:r>
        <w:rPr>
          <w:b/>
        </w:rPr>
        <w:t>[Pages 7–9]</w:t>
      </w:r>
    </w:p>
    <w:p>
      <w:r>
        <w:t>NATIONAL COMPETITION COMMISSION</w:t>
      </w:r>
    </w:p>
    <w:p>
      <w:r>
        <w:t>LEGAL GROUNDS</w:t>
      </w:r>
    </w:p>
    <w:p>
      <w:r>
        <w:t>First.- Article 49.1 of the LDC provides that the Investigation Directorate shall initiate sanctioning proceedings when it observes reasonable indications of the existence of prohibited conduct under Articles 1, 2, and 3 of the Law. In paragraph 3 of the same legal provision, it is added that the Council, at the proposal of the Investigation Directorate, shall agree not to initiate sanctioning proceedings and, consequently, to archive the actions taken when it considers that there are no indications of an infringement.</w:t>
      </w:r>
    </w:p>
    <w:p>
      <w:r>
        <w:t>Therefore, the purpose of this Resolution is to determine whether the Proposal for Archiving made by the Investigation Directorate is in accordance with the Law, since in the actions taken by the instructing body there are no reasonable indications of an infringement of Articles 1 and 3 of the LDC.</w:t>
      </w:r>
    </w:p>
    <w:p>
      <w:r>
        <w:t>Second.- The complaint that motivates this Proposal for Archiving of the reserved actions taken by the Investigation Directorate is related to conduct developed by the accused companies in the so-called secondary markets, post-sale or aftermarkets of consumables and maintenance services for long-lasting goods previously acquired in the primary market or market for the manufacturing and sale of the good.</w:t>
      </w:r>
    </w:p>
    <w:p>
      <w:r>
        <w:t>Specifically, according to the Proposal for Archiving and the remaining information contained in the actions taken, the three companies subject to the complaint (DOMINO, VIDEOJET, and EBS) are companies dedicated, among other activities, to the manufacturing and/or sale of labeling application machines and industrial printers of various technologies (inkjet, laser, thermal, and contact printers) that allow printing on multiple surfaces of various materials (primary product), as well as consumables, technical assistance, and spare parts for such machines (secondary product).</w:t>
      </w:r>
    </w:p>
    <w:p>
      <w:r>
        <w:t>The complainant (who also markets and distributes machinery and inks for industrial labeling and marking) attaches to their complaint reports, prepared by a registered industrial technical engineer, from which it follows that - at least in the models of industrial marking printers of the three accused companies subject to the report - they use technical devices, codes, or electronic labels with encoded information in the original ink tanks, cartridges, and bottles, which in fact prevent the use in such printers of cartridges or ink bottles or compatible ink from a third supplier, as is the case with the complainant. In short, through this conduct, the three accused companies would be reserving in "ownership" the supply of such products necessary for the operation of printers of their brand.</w:t>
      </w:r>
    </w:p>
    <w:p>
      <w:r>
        <w:t>The Council agrees with the Investigation Directorate that there is no information in the complaint or in the actions taken by it that indicates or suggests an eventual agreement or arrangement among the accused companies to reserve the secondary market for their respective machines. Therefore, in accordance with Article 49.3 of the LDC, the archiving would proceed due to the absence of indications of an infringement of Article 1 of the LDC.</w:t>
      </w:r>
    </w:p>
    <w:p>
      <w:r>
        <w:t>However, it is appropriate in this case, due to the nature of the products and the conduct subject to the complaint, to conduct a preliminary analysis of them under the prohibition of abuse of dominant position (Article 2 of the LDC) before resolving on the archiving of the actions.</w:t>
      </w:r>
    </w:p>
    <w:p>
      <w:r>
        <w:t>The Investigation Directorate, relying on the precedents cited in its Proposal for Archiving, concludes that for the purposes of the present actions, a primary market for the manufacturing and sale of industrial marking printers can be distinguished, and a secondary market for consumables that is part of a broader aftermarket segment, which would also include maintenance services and spare parts, but closely linked to the primary market. The Council considers that, in this case, it is not necessary to pronounce on this definition of relevant markets, as it understands that even in the event that the accused companies individually held a dominant position in the affected market, the information available in the file does not indicate that the conduct complained of has an abusive nature, which is the prohibited conduct in the aforementioned Article 2 of the LDC, and this for the following reasons: (i) The available information indicates that the accused companies market their products in a primary market of at least community territorial scope, relatively concentrated, with the presence of multinational operators, in which the companies subject to the complaint do not have high market shares, and that those shares have been progressively reduced in recent years, likely due to the emergence of new entrants in the market. (ii) The complainant does not refer in their complaint to the fact that customers are unaware at the time of acquiring the industrial printer of the conduct complained of and followed by the accused in the aftermarket for consumables. (iii) Furthermore, there is no information in the file regarding the existence of exploitative practices by the accused companies to the detriment of customers (such as, for example, high prices or price increases in the aftermarket), nor about their inability to switch manufacturers in the event of potential price increases in secondary products, but rather the inability to use the consumables that it markets in the printers manufactured by the accused, conduct that per se and in abstract cannot be considered to have an abusive nature. (iv) This absence of complaints about exploitative practices in the secondary market (which were indeed reported in all the community precedents cited in the Proposal for Archiving) by those who compete or wish to compete with the consumables supplier of the printer brand is of greater relevance considering that customers in the aftermarket are not final consumers but companies, some with considerable purchasing power regarding the equipment and, in particular, the consumables, which make their purchases through bidding processes - formal or informal - in which numerous companies participate.</w:t>
      </w:r>
    </w:p>
    <w:p>
      <w:r>
        <w:t>Under these circumstances, the Council considers that there are not sufficient indications of a potential infringement of the prohibition of abuse of dominant position that could warrant a further investigation of the markets analyzed in the present reserved actions and of the conduct complained of, so in accordance with Article 49.3 of the LDC, the archiving of the actions designated with file number S/0336/11 is appropriate.</w:t>
      </w:r>
    </w:p>
    <w:p>
      <w:r>
        <w:t>In light of the above, and having regard to the cited provisions and those of general application, the Council of the National Competition Commission</w:t>
      </w:r>
    </w:p>
    <w:p>
      <w:r>
        <w:t>HAS RESOLVED</w:t>
      </w:r>
    </w:p>
    <w:p>
      <w:r>
        <w:t>SOLE.- Not to initiate sanctioning proceedings and to archive the actions initiated ex officio by the Investigation Directorate with file number S/0336/11.</w:t>
      </w:r>
    </w:p>
    <w:p>
      <w:r>
        <w:t>This Resolution shall be communicated to the Investigation Directorate, to SEJAÍN GUNEA SL, DOMINO AMJET IBERICA SA, VIDEOJET TECHNOLOGIES SL, and EBS INK-JET SYSTEM GmbH, informing them that it concludes the administrative procedure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