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https://www.cnmc.es/expedientes/s033811</w:t>
      </w:r>
    </w:p>
    <w:p>
      <w:r>
        <w:t>Pages translated : 13</w:t>
      </w:r>
    </w:p>
    <w:p/>
    <w:p>
      <w:r>
        <w:rPr>
          <w:b/>
        </w:rPr>
        <w:t>[Pages 1–3]</w:t>
      </w:r>
    </w:p>
    <w:p>
      <w:r>
        <w:t xml:space="preserve">RESOLUTION  </w:t>
        <w:br/>
        <w:t xml:space="preserve">(File TC S/0338/11, SUBARU)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August 16, 2012  </w:t>
        <w:br/>
        <w:t xml:space="preserve">The Council of the National Competition Commission (the Council), with the composition stated above and with the Rapporteur being Councilor Ms. María Jesús González López, has issued the following Resolution in the sanctioning file S/338/11 SUBARU initiated on March 25, 2011, against SUBARU España S.A., and the dealers of the official SUBARU group network in Spain, Mava Motor S.L., Korea Lesseps S.L., and Quick Motor Servicios Postventa S.L., by virtue of the complaint filed by Rekord Motor 3000 S.L. for alleged restrictive competition practices, contrary to Law 15/2007, of July 3, on the Defense of Competition (LDC).  </w:t>
        <w:br/>
        <w:t xml:space="preserve">FACTUAL BACKGROUND  </w:t>
        <w:br/>
        <w:t xml:space="preserve">1. On March 25, 2011, a document was received at the National Competition Commission (CNC) submitted by Rekord Motor 3000, S.L. (hereinafter REKORD MOTOR), in which a complaint was filed against Subaru España, S.A. (hereinafter SUBARU ESPAÑA), and the dealers of the official SUBARU group network in Spain Mava Motor, S.L. (MAVA MOTOR), Korea Lesseps, S.L. (KOREA LESSEPS and later JAPAN LESSEPS), for alleged restrictive competition practices consisting of the non-contracted recognition of warranties for Subaru vehicles purchased by REKORD MOTOR in other EU countries and resold in Spain, when the official warranties were still in effect (folios 1 to 151).  </w:t>
        <w:br/>
        <w:t>2. On April 26, 2011, REKORD MOTOR submitted supplementary information extending the complaint against the dealer of the official SUBARU group network in Spain Quick Motor Servicios Postventa, S.L. (QUICK MOTOR) (folios 152 to 162).</w:t>
      </w:r>
    </w:p>
    <w:p>
      <w:r>
        <w:t xml:space="preserve">3. Upon receiving the complaint, the Directorate of Investigation (hereinafter DI) initiated a confidential inquiry, under file number S/0338/11, to determine whether the circumstances justified the initiation of the corresponding sanctioning proceedings. For this purpose, on May 18, 2011, it sent a request for information to SUBARU ESPAÑA, requesting data on the reported facts, and on May 24 and June 17, 2011, it sent letters to REKORD MOTOR requesting additional data on the aforementioned facts. The response from SUBARU to the request for information was received on June 10, 2011 (folios 200 to 370) and those from REKORD MOTOR on June 7 (folios 188 to 195) and July 4, 2011 (folios 376 to 385) respectively.  </w:t>
        <w:br/>
        <w:t xml:space="preserve">4. In light of the information received, the DI considered that there were reasonable indications of the commission by SUBARU ESPAÑA, QUICK MOTOR, MAVA MOTOR, and KOREA LESSEPS of an infringement of Article 1 of the LDC and Article 101 of the Treaty on the Functioning of the European Union (TFEU), and on July 15, 2011, proceeded to initiate the sanctioning file (folios 395 to 396). In the same agreement, the DI recognized the status of interested party of REKORD MOTOR in said file.  </w:t>
        <w:br/>
        <w:t xml:space="preserve">5. On October 6, 2011, the DI requested information from JAPAN LESSEPS (formerly KOREA LESSEPS), QUICK MOTOR, and MAVA MOTOR regarding the criteria used to accept or deny warranties and the reasons why the vehicles affected by this file had not been repaired under their corresponding warranties. The responses to these requests for information were received at the CNC on October 18 (JAPAN LESSEPS), 19 (QUICK MOTOR), and 20 (MAVA MOTOR), 2011 (folios 481; 482 to 485, and 486 to 487 respectively).  </w:t>
        <w:br/>
        <w:t xml:space="preserve">6. On October 13, 2011, the DI sent a request for information to SUBARU ESPAÑA regarding data on its position in the distribution and repair markets for vehicles and on vehicles acquired in other EU countries repaired free of charge by its network of authorized workshops. SUBARU responded to this request on October 26, 2011 (folios 502 to 510).  </w:t>
        <w:br/>
        <w:t xml:space="preserve">7. Finally, in order to complete and clarify some data, the DI sent a new request for information to SUBARU ESPAÑA on November 10, 2011, which was responded to on November 22, 2011 (folios 518 to 524).  </w:t>
        <w:br/>
        <w:t>8. On December 9, 2011, and without the Directorate of Investigation having issued the Statement of Facts (PCH), a document from SUBARU ESPAÑA was received at the CNC requesting the initiation of the necessary proceedings for Conventional Termination (folios 526 to 534). On December 14, 2011, the Directorate of Investigation agreed to initiate the proceedings aimed at the Conventional Termination of the reference file, giving SUBARU ESPAÑA a period of 15 days to submit its proposal for commitments (folio 548). This agreement was notified to the interested parties on December 15, 2011 (folios 549 to 571).</w:t>
      </w:r>
    </w:p>
    <w:p>
      <w:r>
        <w:t xml:space="preserve">9. On December 23, 2011, SUBARU ESPAÑA submitted a proposal for commitments which, on December 27, 2011, the DI forwarded to the Council in application of Article 39.2 RDC and sent to the parties for allegations. SUBARU submitted a modified proposal that was received at the CNC on January 19, 2012 (folios 615 to 620). In this modified proposal, SUBARU ESPAÑA, after expressing its view that there is no infringement of the LDC or the TFEU, but in order to prevent situations like those reported, commits to: 1) recognize the warranties of any SUBARU brand vehicle, and to require the workshops in its network to accept the valid warranties issued by dealers in the EU, which have been registered in the manufacturer's computer system (SAIS); 2) in the event that the existence of the valid warranty cannot be verified due to not being registered in the SAIS system, SUBARU ESPAÑA assumes the responsibility of carrying out the necessary actions with operators in other EU countries to verify the validity of the warranties and ensure that they are registered in the manufacturer's database as soon as possible; 3) to avoid delays, establishes a maximum time to verify that the warranty is valid and communicate it to the collaborator (two days if the warranty is registered in the SAIS system and three days for the warranty to be registered if it is not listed in the manufacturer's computer system), and 4) SUBARU ESPAÑA will send a circular to all workshops in the network detailing the procedure to follow to accept warranties for vehicles purchased in other EU countries, in order to avoid possible delays in the repair of the vehicle. The procedure is very simple, as it only requires the workshops to send the vehicle's chassis number and a copy of the first page of the warranty within a maximum period of two days.  </w:t>
        <w:br/>
        <w:t xml:space="preserve">10. On January 17, 2012, REKORD MOTOR submitted allegations to the CNC regarding the first version of commitments presented by SUBARU ESPAÑA on December 23, 2011 (folios 607 to 613). For REKORD MOTOR, the commitments presented do not resolve the competition issues arising from the conduct under analysis in this file and do not guarantee the public interest because: a) they are vague and imprecise, and seem more like a letter of intent, b) they do not serve to mitigate the effects already produced as a result of the anticompetitive conduct. Furthermore, REKORD believes it should be financially compensated for the damages. The DI refutes these allegations because it considers that in the modified version the commitments are specific and easy to execute and serve to put an end to possible restrictions on competition. It also denies the possibility of financial compensation since the purpose of the CNC is to safeguard the public interest and conflicts between individuals and claims for damages must be made before the competent jurisdiction.  </w:t>
        <w:br/>
        <w:t>11. The DI positively assesses the commitments presented by SUBARU ESPAÑA in its document of January 19, 2012, and, in accordance with the provisions of Article 52 of the LDC, on January 25, 2012, submits to the Council a report and the proposal to conventionally conclude the file by accepting the commitments and ending the sanctioning proceedings.</w:t>
      </w:r>
    </w:p>
    <w:p>
      <w:r>
        <w:rPr>
          <w:b/>
        </w:rPr>
        <w:t>[Pages 4–6]</w:t>
      </w:r>
    </w:p>
    <w:p>
      <w:r>
        <w:t>efectivamente, una reparación cubierta por la garantía y que el vehículo ha sido vendido por un distribuidor autorizado de Subaru”.</w:t>
      </w:r>
    </w:p>
    <w:p>
      <w:r>
        <w:t>17. En el caso de que el taller deba realizar una reparación que no esté cubierta por la garantía, Subaru España indica que el taller debe informar al cliente de esta situación antes de proceder con la reparación.</w:t>
      </w:r>
    </w:p>
    <w:p>
      <w:r>
        <w:t>18. En relación con las reclamaciones presentadas por los propietarios de los vehículos mencionados, Subaru España ha manifestado que la negativa a aceptar la garantía se basa en la falta de relación contractual con el distribuidor que realizó la venta, en este caso, el concesionario francés.</w:t>
      </w:r>
    </w:p>
    <w:p>
      <w:r>
        <w:t>19. Además, Subaru España ha señalado que cualquier reclamación relacionada con la garantía debe ser gestionada directamente con Subaru France, ya que ellos son los responsables de la garantía comercial del vehículo.</w:t>
      </w:r>
    </w:p>
    <w:p>
      <w:r>
        <w:t>20. En conclusión, el Consejo ha considerado que la negativa de Subaru España a aceptar las reparaciones bajo garantía en los casos presentados por Rekord Motor se basa en la interpretación de la relación contractual y la falta de vínculo con el distribuidor que realizó la venta, lo que ha llevado a la resolución de este expediente.</w:t>
      </w:r>
    </w:p>
    <w:p>
      <w:r>
        <w:rPr>
          <w:b/>
        </w:rPr>
        <w:t>[Pages 7–9]</w:t>
      </w:r>
    </w:p>
    <w:p>
      <w:r>
        <w:t>effectively, a repair covered by the manufacturer's warranty. However, the database accessible to Subaru España and the workshops in its network only includes data related to vehicles sold through that network, and to verify the same data for cars sold outside of Spain, it is necessary to coordinate with the foreign distributor.”</w:t>
      </w:r>
    </w:p>
    <w:p>
      <w:r>
        <w:t>The content of clause 15 of the SUBARU AFTER-SALES SERVICE CONTRACTS, signed between SUBARU ESPAÑA and the authorized workshops is as follows:</w:t>
      </w:r>
    </w:p>
    <w:p>
      <w:r>
        <w:t>15.1 The Workshop must carry out, under its responsibility and free of charge, the inspections, repairs, and customer services provided for in the warranty in accordance with the provisions of the current Warranty Standards and Procedures Manual at all times and, where applicable, with the Authorized Workshop Standards, regardless of whether it subsequently files warranty claims to be audited by the Supplier.</w:t>
      </w:r>
    </w:p>
    <w:p>
      <w:r>
        <w:t>15.2 The Workshop undertakes to provide this warranty for any Subaru Vehicle, regardless of the natural or legal person who sold the Subaru Vehicle to the user.</w:t>
      </w:r>
    </w:p>
    <w:p>
      <w:r>
        <w:t>[..]</w:t>
      </w:r>
    </w:p>
    <w:p>
      <w:r>
        <w:t>15.7 The Workshop shall not charge any amount to the owner of the Subaru Vehicle who requests the execution of the warranty, neither for labor nor for the Original Spare Parts used in the work covered by the warranty. The Supplier will reimburse the Workshop for the amount of the service covered by the warranty in accordance with the terms and conditions established in the Authorized Workshop Standards or in any other instructions given to the Workshop, provided that the Workshop correctly follows the established procedures […].</w:t>
      </w:r>
    </w:p>
    <w:p>
      <w:r>
        <w:t>SUBARU ESPAÑA also points out that the four cases representing the reason for the complaint indicated by the CNC are exceptional cases, in which the workshops in its official network could not repair the vehicles as they could not verify that the repair was covered by the warranty due to lack of information, since the vehicles in question were not sold through the SUBARU ESPAÑA network.</w:t>
      </w:r>
    </w:p>
    <w:p>
      <w:r>
        <w:t>17. Regarding the procedure and the criteria used to accept warranty repairs for vehicles, the consulted workshops (JAPAN LESSEPS, QUICK MOTOR, and MAVA MOTOR) have stated that for vehicles purchased abroad, it is necessary to consult SUBARU ESPAÑA in order to verify whether the warranty is registered in the system (folios 481, 482, and 486). They also indicate that SUBARU ESPAÑA did not authorize the warranty repair of the vehicles affected by this file, because SUBARU FRANCE did not provide the necessary data to register them in the system (folio 486).</w:t>
      </w:r>
    </w:p>
    <w:p>
      <w:r>
        <w:t>18. On the other hand, SUBARU ESPAÑA has sent a list of vehicles (34) that have been repaired free of charge under warranties issued by official Subaru distributors based in other EU countries (folio 506). This list includes a repair in 2010 of a vehicle originating from Germany for an amount of 2,733 euros and three repairs carried out in 2011 prior to the date of initiation of this file for amounts less than 30 euros each. The vehicle (chassis number JF1 BLDYG8G048077) is also listed, whose free repair at the MAVA MOTOR workshop was denied on October 20, 2010, and which was repaired free of charge at the same workshop on September 5, 2011, understood to be for a different malfunction since the repair amounts are different.</w:t>
      </w:r>
    </w:p>
    <w:p>
      <w:r>
        <w:t>19. Finally, QUICK MOTOR has proven the refund made to REKORD MOTOR on October 5, 2011, of the amount charged on April 14, 2011, for the repair of the vehicle (chassis number JF1BLDLYG8G046766) (folio 485).</w:t>
      </w:r>
    </w:p>
    <w:p>
      <w:r>
        <w:t>20. Likewise, it has been proven the refund made by MAVA MOTOR to REKORD MOTOR on November 8, 2011, of the amount charged on January 21, 2011, for the repair of the vehicle (chassis number JF1BLDLYG048077) (folios 536 to 537).</w:t>
      </w:r>
    </w:p>
    <w:p>
      <w:r>
        <w:t>LEGAL GROUNDS</w:t>
      </w:r>
    </w:p>
    <w:p>
      <w:r>
        <w:t>FIRST.- Object and Legal Basis. The Council in this file must decide, based on the proposal raised by the Directorate of Investigation, whether the requirements set forth in Articles 52.1 of the LDC and 39 of the RDC are met, to proceed with the Conventional Termination of the initiated sanctioning file.</w:t>
      </w:r>
    </w:p>
    <w:p>
      <w:r>
        <w:t>Article 52.1 of the LDC states that the Council, at the proposal of the Directorate of Investigation, “may resolve the Conventional Termination of the sanctioning procedure regarding agreements and restrictive practices when the alleged infringers propose commitments that resolve the effects on competition arising from the behaviors subject to the file and sufficiently guarantee the public interest.”</w:t>
      </w:r>
    </w:p>
    <w:p>
      <w:r>
        <w:t>The procedure or regime of Conventional Termination in Spanish legislation is provided as a special form of conclusion of the sanctioning procedure, without any pronouncement by the competition authorities regarding the existence or non-existence of an infringement in the behaviors subject to the initiation, thus differing from the usual conclusion of sanctioning files, which according to Article 53 of the LDC must conclude either by declaring the existence of prohibited behaviors, or by declaring the existence of behaviors that due to their minor importance are not capable of affecting competition, or by stating that the existence of prohibited practices has not been proven. As can be deduced from the wording of the aforementioned Article 52.1 of the LDC, which speaks of alleged infringers, to use Conventional Termination in Spanish legislation does not require a prior declaration of infringement by the competition authority; furthermore, it is not even necessary for the instructing body to have formulated a Statement of Specific Facts under Article 33.1 of the RDC, as it is an instrument provided for early resolution, and before the initiation by the competition authorities of a sanctioning file, considering that there are indications of infringement, the initiated party (referred to in the LDC as the alleged infringer) may quickly terminate the file without waiting for the formal declaration of the Council on it, through an agreement with the competition authority, as long as it proposes commitments that, in the opinion of that authority, resolve the possible effects that the behaviors, indicatively infringing, could have on competition.</w:t>
      </w:r>
    </w:p>
    <w:p>
      <w:r>
        <w:t>SECOND.- Proposal of the DI to the Council. In the Report and Proposal for Conventional Termination that the DI submits to the Council, it makes preliminary considerations regarding the compatibility of the practices reported by SUBARU ESPAÑA, in relation to Articles 1 of the LDC and 101 of the TFEU. Specifically, it analyzes whether the refusal by the workshops in the SUBARU ESPAÑA network to carry out the free repairs covered by the current warranty that have been reported and which SUBARU does not deny, is due to specific material errors in the warranty verification procedure, unilateral decisions by certain workshops, or indications from the latter, consented to and applied by the initiated workshops.</w:t>
      </w:r>
    </w:p>
    <w:p>
      <w:r>
        <w:t>The Directorate of Investigation considers regarding the alleged material errors in the warranty verification procedure that, “even admitting that the warranties of the affected vehicles were not registered in the manufacturer's database (a fact that has not been verified by this Directorate of Investigation), SUBARU ESPAÑA did not carry out the necessary actions to resolve the problem as demonstrated by the responses to the complaints made by the affected users, in which SUBARU ESPAÑA expressly assumes its disengagement regarding its obligations to recognize the official warranties in force issued by official dealers in EU countries, based on the fact that the vehicle was not sold by its network of dealers and that the French distributor is the one who appears as the guarantor. At no time does SUBARU ESPAÑA mention that the type of repairs carried out are not covered or any other non-compliance with the requirements set forth in the warranty manual to be able to enjoy it.”</w:t>
      </w:r>
    </w:p>
    <w:p>
      <w:r>
        <w:t>The DI, in accordance with the data on warranty refusal provided by the complainant and not denied by SUBARU in the case of the four cars described in the Accredited Fact (AF) number 10, considers that such behaviors, if repeated, may have effects on the acquisition of motor vehicles in other Member States. However, taking into account that the contracts of SUBARU with the official workshops (AF16) contemplate the obligations of SUBARU ESPAÑA and its dealers regarding the recognition of warranties for vehicles sold in another Member State, and that SUBARU ESPAÑA commits in its Proposal of Commitments to carry out with maximum agility and diligence the verification that such warranties are in force, contacting, if necessary, the operator of the SUBARU network responsible for issuing the warranty, the DI positively assesses these commitments considering them sufficient to avoid similar behaviors to those reported in the future, and in accordance with the provisions of Article 52 of the LDC, submitted to the Council the proposal for acceptance of the commitments and the Conventional Termination of the initiated procedure.</w:t>
      </w:r>
    </w:p>
    <w:p>
      <w:r>
        <w:rPr>
          <w:b/>
        </w:rPr>
        <w:t>[Pages 10–12]</w:t>
      </w:r>
    </w:p>
    <w:p>
      <w:r>
        <w:t>In relation to the solution of the possible effects on competition, the DI states that: “(110) On the other hand, it is considered that so far, the agreement has not had significant restrictive effects on competition in the market for the sale of SUBARU brand cars, mainly due to the short period in which the analyzed conduct has been applied (less than a year), and the limited weight of the proven cases (four cases). Furthermore, the workshops involved have compensated REKORD MOTOR for the economic cost incurred from the payment of the repairs.”</w:t>
      </w:r>
    </w:p>
    <w:p>
      <w:r>
        <w:t>THIRD.- Assessment of the Council. Based on the proposal received and taking into account the facts recorded in the report and in the file instructed by the Directorate of Investigation, in accordance with the LDC (art. 52), the RDC (art. 39), and the Communication on Conventional Termination of sanctioning files of October 2011 (sections 46-47), the Council can fundamentally issue two types of pronouncements: (i) that the commitments are adequate, or (ii) urge the Directorate of Investigation to continue the sanctioning file in such a way that it concludes with a pronouncement of those provided for in Article 53 of the LDC described in the Legal Basis FIRST.</w:t>
      </w:r>
    </w:p>
    <w:p>
      <w:r>
        <w:t>Before pronouncing on the above, the Council wishes to emphasize some aspects of this procedure. This file was initiated on July 15, 2011, and on December 9 of the same year, SUBARU ESPAÑA requested the DI to initiate actions to conclude it conventionally, proposing as commitments to introduce a series of improvements in the management of free repairs under the brand warranty, particularly when it concerns cars whose warranty has been issued in a country of the European Union.</w:t>
      </w:r>
    </w:p>
    <w:p>
      <w:r>
        <w:t>The proposal from SUBARU to initiate the Conventional Termination was accepted by the DI on December 14, 2011, interrupting the instruction of the file without reaching the presentation of the Statement of Facts, and therefore, there is no accusation of infringement even in the preliminary phase (art. 33.1 of the RDC).</w:t>
      </w:r>
    </w:p>
    <w:p>
      <w:r>
        <w:t>According to the information in the file, in the management of the application of the manufacturer’s warranty, undesirable situations may arise when dealing with cars from other EU Member States, as has indeed happened with the reported cases included in AH 10, which may discourage the acquisition of cars between Member States.</w:t>
      </w:r>
    </w:p>
    <w:p>
      <w:r>
        <w:t>According to statements from SUBARU ESPAÑA itself, in the four cases investigated in this file, since they involved cars sold in France, the authorized workshops contacted SUBARU España to verify whether the warranty was registered in the FHI database called SUBARU Aftersales Information System (SAIS), where all information related to any SUBARU brand vehicle worldwide is recorded, including the identification of active warranties, which did not initially appear in the mentioned database. Subsequently, the vehicles were included in the database, and SUBARU ESPAÑA ordered the vehicles to be repaired and the amounts charged to be refunded.</w:t>
      </w:r>
    </w:p>
    <w:p>
      <w:r>
        <w:t>To avoid situations like those reported, SUBARU ESPAÑA, without admitting that its behavior of delaying the acceptance of the factory warranty may constitute an infringement of competition rules, presented the following proposal of commitments:</w:t>
      </w:r>
    </w:p>
    <w:p>
      <w:r>
        <w:t>“PROPOSAL OF COMMITMENTS whose objective, without prejudice to SUBARU España respectfully considering that there has been no infringement of the LDC or the TFEU, is to prevent the problems detected in file S/0338/11 SUBARU from recurring in the future.</w:t>
      </w:r>
    </w:p>
    <w:p>
      <w:r>
        <w:t>Specifically, SUBARU España proposes the following commitments, already outlined in the request for the initiation of the conventional termination dated December 9, 2011.</w:t>
      </w:r>
    </w:p>
    <w:p>
      <w:r>
        <w:t>1. SUBARU España will recognize the warranty of any SUBARU brand vehicle and will require its workshops to repair the vehicles free of charge under said warranty as long as the warranty is in force, has been issued in a country of the European Union, and has been registered in the SAIS system, regardless of the natural or legal person who sold the vehicle.</w:t>
      </w:r>
    </w:p>
    <w:p>
      <w:r>
        <w:t>2. Specifically, in the case of detecting warranties of SUBARU brand vehicles for which SUBARU España cannot verify the validity of the warranty through the SAIS system, SUBARU España will carry out all necessary actions to ensure that said warranty is registered as soon as possible to allow for the repair of the vehicle in question without delay. Specifically, SUBARU España will immediately contact the SUBARU network operator responsible for issuing the warranty in question to confirm the validity of the warranty and request its registration in the SAIS system as soon as possible.</w:t>
      </w:r>
    </w:p>
    <w:p>
      <w:r>
        <w:t>3. Furthermore, to avoid delays due to lack of coordination or interpretation, SUBARU España will send all its dealers and workshops a circular, agreed upon with the CNC, describing the procedure to be followed in the event that a vehicle with a warranty issued in another Member State is presented for repair. The circular is attached as Annex 1.</w:t>
      </w:r>
    </w:p>
    <w:p>
      <w:r>
        <w:t>4. SUBARU España commits to verify whether the vehicle is registered in the SAIS system without delay and in any case will respect the following deadlines:</w:t>
        <w:br/>
        <w:t>a. In the event that the verification is positive, SUBARU España commits to communicate this to the relevant collaborator within a maximum of two working days from the moment the relevant vehicle data has been provided for verification.</w:t>
        <w:br/>
        <w:t>b. In the exceptional case that the verification is negative, SUBARU España commits to request the SUBARU network operator responsible for issuing the warranty to register it within three working days from the moment the relevant vehicle data has been provided for verification.</w:t>
      </w:r>
    </w:p>
    <w:p>
      <w:r>
        <w:t>5. For their part, the collaborators will send SUBARU España the vehicle information indicated in the circular within a maximum of two working days so that SUBARU España can verify whether the vehicle's warranty is in force.</w:t>
      </w:r>
    </w:p>
    <w:p>
      <w:r>
        <w:t>And, in virtue of all the above,</w:t>
      </w:r>
    </w:p>
    <w:p>
      <w:r>
        <w:t>REQUESTS</w:t>
      </w:r>
    </w:p>
    <w:p>
      <w:r>
        <w:t>That this document be considered presented, and based on this, the conventional termination of file S/0338/11 SUBARU be agreed upon based on the proposal of commitments outlined in this document.”</w:t>
      </w:r>
    </w:p>
    <w:p>
      <w:r>
        <w:t>These commitments have been presented by SUBARU autonomously, even before the issuance of the PCH and, therefore, before any formal pronouncement of the instructing body regarding the initial accusation of an infringement of competition regulations, and do not imply any modification of the contractual relationships between SUBARU and the authorized workshops, but do imply a behavior from SUBARU ESPAÑA, as the authorized distributor responsible for the retail network of SUBARU brand vehicles in the Spanish mainland territory, to apply maximum diligence in recognizing the active warranties of SUBARU brand cars issued by dealers from other EU countries, as well as to limit the response times necessary to carry out the necessary verifications to confirm the validity of the warranty.</w:t>
      </w:r>
    </w:p>
    <w:p>
      <w:r>
        <w:t>Taking into account all the above, without the need to pronounce on the restrictive nature of the reported conduct, and considering that the behavioral obligations to which SUBARU ESPAÑA commits in its proposal may improve the competitive conditions in the retail market for the acquisition of cars between EU Member States, the Council accepts the commitments proposed by SUBARU and resolves that the Conventional Termination of the reference file is appropriate.</w:t>
      </w:r>
    </w:p>
    <w:p>
      <w:r>
        <w:t>In view of the cited provisions and others of general application, the Council of the National Competition Commission,</w:t>
      </w:r>
    </w:p>
    <w:p>
      <w:r>
        <w:t>RESOLVES</w:t>
      </w:r>
    </w:p>
    <w:p>
      <w:r>
        <w:t>FIRST: To agree, under the protection of Article 52 of the LDC and Article 39 of the RDC, the Conventional Termination of the sanctioning procedure S/0338/11, SUBARU and declare binding the commitments presented that are recorded in the Legal Basis THIRD.</w:t>
      </w:r>
    </w:p>
    <w:p>
      <w:r>
        <w:t>SECOND.- The non-compliance with the commitments will be considered a very serious infringement in accordance with the provisions of Article 62.4 c) of the LDC and Article 39.7 of the RDC.</w:t>
      </w:r>
    </w:p>
    <w:p>
      <w:r>
        <w:t>THIRD.- To entrust the Directorate of Investigation with the monitoring of this Resolution of the Council of Conventional Termination.</w:t>
      </w:r>
    </w:p>
    <w:p>
      <w:r>
        <w:rPr>
          <w:b/>
        </w:rPr>
        <w:t>[Pages 13–13]</w:t>
      </w:r>
    </w:p>
    <w:p>
      <w:r>
        <w:t>Communicate this Resolution to the Directorate of Investigation, and notify the interested parties informing them that there is no administrative appeal against it, and that a contentious-administrative appeal may be filed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