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https://www.cnmc.es/expedientes/s033911</w:t>
      </w:r>
    </w:p>
    <w:p>
      <w:r>
        <w:t>Pages translated : 17</w:t>
      </w:r>
    </w:p>
    <w:p/>
    <w:p>
      <w:r>
        <w:rPr>
          <w:b/>
        </w:rPr>
        <w:t>[Pages 1–3]</w:t>
      </w:r>
    </w:p>
    <w:p>
      <w:r>
        <w:t xml:space="preserve">RESOLUTION  </w:t>
        <w:br/>
        <w:t xml:space="preserve">(EXPTE. S/0339/11 GRAPHIC DESIGNERS)  </w:t>
        <w:br/>
        <w:t xml:space="preserve">COUNCIL  </w:t>
        <w:br/>
        <w:t xml:space="preserve">Mr. Joaquín García Bernaldo de Quirós, President  </w:t>
        <w:br/>
        <w:t xml:space="preserve">Ms. Pilar Sánchez Núñez, Vice President  </w:t>
        <w:br/>
        <w:t xml:space="preserve">Mr. Julio Costas Comesaña, Council Member  </w:t>
        <w:br/>
        <w:t xml:space="preserve">Ms. M. Jesús González López, Council Member  </w:t>
        <w:br/>
        <w:t xml:space="preserve">Ms. Inmaculada Gutiérrez Carrizo, Council Member  </w:t>
        <w:br/>
        <w:t xml:space="preserve">Mr. Luis Díez Martín, Council Member  </w:t>
        <w:br/>
        <w:t xml:space="preserve">In Madrid, on July 30, 2012  </w:t>
        <w:br/>
        <w:t>The Council of the National Commission on Competition (the Council), with the composition already expressed and being Rapporteur Ms. Pilar Sánchez Núñez, has issued the following Resolution in the file S/0339/11 GRAPHIC DESIGNERS initiated ex officio by the Directorate of Investigation against the ASSOCIATION OF GRAPHIC DESIGNERS OF ASTURIAS, which reports alleged restrictive practices of competition contrary to Law 15/2007, of July, on the Defense of Competition (LDC).</w:t>
      </w:r>
    </w:p>
    <w:p>
      <w:r>
        <w:t xml:space="preserve">BACKGROUND  </w:t>
        <w:br/>
        <w:t xml:space="preserve">Initiation  </w:t>
        <w:br/>
        <w:t xml:space="preserve">1. On April 5, 2011, the Directorate of Investigation, in accordance with the provisions of Article 49.2 LDC, opened a reserved inquiry, with file number S/0339/11, to determine whether the circumstances existed that justified the initiation of a sanctioning file against the Association of Graphic Designers of Asturias (the Association) in relation to the approval and publication of a recommended minimum fee schedule regarding the provision of professional design services.  </w:t>
        <w:br/>
        <w:t>2. On May 19, 2011, the present file was initiated against the Association of Graphic Designers of Asturias for alleged restrictive practices of competition, in accordance with Article 50.3 of Law 15/2007, of July 3, on the Defense of Competition (LDC). This initiation derives from the previous reserved inquiry, after learning of the approval and publication by the Association of Graphic Designers of Asturias of the recommended minimum fee schedule.</w:t>
      </w:r>
    </w:p>
    <w:p>
      <w:r>
        <w:t xml:space="preserve">3. On June 21, 2011, the Directorate of Investigation requested information from the Association of Graphic Designers of Asturias regarding the published fee schedule, to which it submitted its response on July 1, 2011.  </w:t>
        <w:br/>
        <w:t xml:space="preserve">4. On July 27, 2011, a testimony of the documentation contained in the file related to the Association of Designers of the Valencian Community (ADCV) was deduced, in order to send a copy of it to the Competition Defense Tribunal of the Valencian Community, in accordance with Law 1/2002, of February 21, on the Coordination of the Competences of the State and the Autonomous Communities in matters of Competition Defense, considering that the identified and allegedly restrictive conduct of competition, consisting of collective recommendations for setting minimum prices regarding the provision of professional design services developed by the Association of Designers of the Valencian Community (ADCV), is confined to the Valencian Community, notifying the concerned party of such deduction.  </w:t>
        <w:br/>
        <w:t xml:space="preserve">5. On November 28, 2011, the Statement of Facts (PCH) was formulated, to which allegations were submitted on January 2, 2012.  </w:t>
        <w:br/>
        <w:t xml:space="preserve">6. On December 21, the Association of Graphic Designers of Asturias sent the data on the Association's revenue volume requested by the CNC on December 1, being declared confidential.  </w:t>
        <w:br/>
        <w:t xml:space="preserve">7. On January 24, 2012, the Directorate of Investigation proceeded to close the instruction phase provided for in Article 33.1 of the RDC.  </w:t>
        <w:br/>
        <w:t xml:space="preserve">8. On January 25, 2012, the Directorate of Investigation formulated the Proposal for Resolution, granting the corresponding period for allegations. On February 10, a written statement of allegations from the Association of Graphic Designers of Asturias was received at the CNC.  </w:t>
        <w:br/>
        <w:t xml:space="preserve">9. On February 13, 2012, the Directorate of Investigation submitted to the Council of the CNC a report with a proposal for sanction for the Association.  </w:t>
        <w:br/>
        <w:t xml:space="preserve">10. On May 3, 2012, an Agreement for complementary actions was issued, requesting data from the Association and suspending the resolution period.  </w:t>
        <w:br/>
        <w:t xml:space="preserve">11. On May 17, 2012, the response from the Association of Graphic Designers of Asturias was received, and on the 18th of the same month, an Agreement lifting the suspension of the period was issued.  </w:t>
        <w:br/>
        <w:t xml:space="preserve">12. On May 22, 2012, a new Agreement for the request for information was issued, granting a 10-day period for response. On June 11, the response to the request for information was received at the CNC.  </w:t>
        <w:br/>
        <w:t xml:space="preserve">13. The interested party in the present file is the Association of Graphic Designers of Asturias.  </w:t>
        <w:br/>
        <w:t>14. The Council finished deliberating and ruled on the present resolution in its plenary session on July 18, 2012.</w:t>
      </w:r>
    </w:p>
    <w:p>
      <w:r>
        <w:t xml:space="preserve">ESTABLISHED FACTS  </w:t>
        <w:br/>
        <w:t xml:space="preserve">During the instruction phase before the Directorate of Investigation and the resolution phase before the Council of the present file, the facts that the Council considers relevant for the accreditation and assessment of the conduct charged by the Directorate of Investigation in its report proposal to the Council have been identified, and are listed below.  </w:t>
        <w:br/>
        <w:t xml:space="preserve">I. ON THE INTERESTED PARTIES  </w:t>
        <w:br/>
        <w:t xml:space="preserve">15. The Association of Graphic Designers of Asturias was established in 1990 and includes graphic designers who voluntarily request to associate with it, maintaining the territorial scope of action of the Autonomous Community of the Principality of Asturias.  </w:t>
        <w:br/>
        <w:t xml:space="preserve">II. ON THE AFFECTED ECONOMIC ACTIVITY  </w:t>
        <w:br/>
        <w:t xml:space="preserve">16. The Directorate of Investigation provides the following description of the economic activity on which the anticompetitive conduct of this file is analyzed in its Statement of Facts:  </w:t>
        <w:br/>
        <w:t xml:space="preserve">(11). The sector affected by the conduct subject to this file is the provision of graphic design services.  </w:t>
        <w:br/>
        <w:t xml:space="preserve">(12). Graphic design can be defined as the process of conception, projection, creation, and original production of a visual communication, an object, or a work intended for mass production, with the aim of transmitting and communicating specific messages to defined groups.  </w:t>
        <w:br/>
        <w:t xml:space="preserve">(13). This activity thus enables the graphical communication of processed and synthesized ideas, facts, and values in terms of form and communication, social, cultural, economic, aesthetic, and technological factors.  </w:t>
        <w:br/>
        <w:t>(14). While graphic design has a wide range of applications, it is possible to distinguish in its uses those intended for advertising (brochures, catalogs,</w:t>
      </w:r>
    </w:p>
    <w:p>
      <w:r>
        <w:rPr>
          <w:b/>
        </w:rPr>
        <w:t>[Pages 4–6]</w:t>
      </w:r>
    </w:p>
    <w:p>
      <w:r>
        <w:t>applied to their projects, making an average which is the one that was included in the fee schedule (folios 25 and 26)."</w:t>
      </w:r>
    </w:p>
    <w:p>
      <w:r>
        <w:t>The decision to develop the fees</w:t>
        <w:br/>
        <w:t>(39) The Association of Graphic Designers of Asturias states that the fee schedule is the response to the demands of the members of the Association and other professionals in the sector in Asturias for references that help them prepare budgets, as in many cases they were unaware of how costs were determined (folio 25).</w:t>
      </w:r>
    </w:p>
    <w:p>
      <w:r>
        <w:t>(40) In this way, and in accordance with article 23.j) of its statutes (folio 40) which indicates that it is the function of the board of directors to prepare reports and studies of interest for the members, a study was conducted on the prices applied by Asturian designers (folio 25), the average of which was included in the fee schedule.</w:t>
      </w:r>
    </w:p>
    <w:p>
      <w:r>
        <w:t>(14). While graphic design has a wide range of applications, it is possible to distinguish its uses for advertising (brochures, catalogs, posters or advertisements), for publishing (magazines, books or manuals), and for corporate and institutional identity or image (brands, logos, merchandising or packaging).</w:t>
      </w:r>
    </w:p>
    <w:p>
      <w:r>
        <w:t>(15). These applications may include the development of different services (design, printing, handling, distribution, programming, etc.), with clients of graphic design activities being companies, individuals, and public or private institutions.</w:t>
      </w:r>
    </w:p>
    <w:p>
      <w:r>
        <w:t>(16). Depending on the activities and services developed, a distinction can be made between generalist graphic design studios (which cover all types of services and carry out a multitude of work) and specialized studios (which focus their activity on specific areas offering a particular and specific service).</w:t>
      </w:r>
    </w:p>
    <w:p>
      <w:r>
        <w:t>(17). The development of information technologies and audiovisual and digital media has expanded both the scope of action of graphic design professionals and the creative tools and transmission channels, generating a multidisciplinary environment.</w:t>
      </w:r>
    </w:p>
    <w:p>
      <w:r>
        <w:t>(18). While there are specific training programs with official qualifications at different levels, in Spain, membership in any professional association in the sector is not mandatory, nor is any specific qualification or special preparation required to practice as a graphic designer.</w:t>
      </w:r>
    </w:p>
    <w:p>
      <w:r>
        <w:t>(19). The negotiation of graphic design service provision is generally carried out either directly and individually, agreeing on the service conditions, or through competitions or open processes in which the characteristics of the service and selection criteria are detailed.</w:t>
      </w:r>
    </w:p>
    <w:p>
      <w:r>
        <w:t>17. And regarding the STRUCTURAL SITUATION OF THE MARKET:</w:t>
        <w:br/>
        <w:t>(25). The market for graphic design services is characterized by a strong fragmentation and the presence of independent professionals, along with small and medium-sized enterprises.</w:t>
      </w:r>
    </w:p>
    <w:p>
      <w:r>
        <w:t>(26). Additionally, there is currently a growing vertical integration of printing companies that offer design services to their medium and small clients, although many times it is more of a formal service than a real one.</w:t>
      </w:r>
    </w:p>
    <w:p>
      <w:r>
        <w:t>(27). The proliferation of sophisticated computer and digital design tools at an affordable cost has fostered the current market structure, facilitating access for numerous independent professionals.</w:t>
      </w:r>
    </w:p>
    <w:p>
      <w:r>
        <w:t>(28). Similarly, technological development and communication media have contributed to the transformation of the sector, both in its composition and in the services provided.</w:t>
      </w:r>
    </w:p>
    <w:p>
      <w:r>
        <w:t>(29). All these elements configure a market with reduced entry barriers, given that the levels of initial investment are low, with no significant legal or regulatory barriers or restrictions arising from patents or other intellectual and industrial property rights. While technical knowledge and personal contacts play an important role, they do not constitute a barrier that prevents the entry of new operators.</w:t>
      </w:r>
    </w:p>
    <w:p>
      <w:r>
        <w:t>(30). Regarding the presence of sectoral organizations, there is a multiplicity of entities, with varying degrees of sectoral and/or territorial specialization, that interact with larger-scale associations such as the Spanish Association of Design Professionals. Thus, both regional and provincial associations are identified, which may be well specialized in graphic design or may also include related fields such as industrial design.</w:t>
      </w:r>
    </w:p>
    <w:p>
      <w:r>
        <w:t>(31). The Association of Graphic Designers of Asturias is specialized in graphic design and focuses its territorial scope of action in the Principality of Asturias. In terms of its representativeness, it currently has 41 members, including freelance graphic designers and companies, which represent, according to estimates from the association itself, 10% of the professionals related to the design sector in the Principality of Asturias.</w:t>
      </w:r>
    </w:p>
    <w:p>
      <w:r>
        <w:t>(32). Finally, it should be noted that, due to the characteristics of the sector, its high fragmentation, and the wide range of activities involved, it is complex to calculate an estimated figure for the value of the national or regional market.</w:t>
      </w:r>
    </w:p>
    <w:p>
      <w:r>
        <w:t>III. ON THE PROVEN FACTS</w:t>
        <w:br/>
        <w:t>The publication of "professional design rates"</w:t>
        <w:br/>
        <w:t>18. On the homepage of AGA, it was possible to find (folio 3), since November 20, 2010 (folio 27), a window titled "Professional design rates recommended by AGA." And within the section "Professional Resources," subsection "Resources for Designers," the icon titled "Recommended design rates" appeared (folios 5 and 44), whose link led to a three-page document in "pdf" format titled "Professional Design Rates" (folios 7 to 10). In the access window, it can be read: "Recommendations are indicated for the realization of designs for small companies (individuals or local businesses), medium (companies with more than 10 employees), and large (corporations or autonomous/state institutions)."</w:t>
      </w:r>
    </w:p>
    <w:p>
      <w:r>
        <w:t>In this document, it can be read: "These rates correspond to the minimum prices recommended by AGA for the realization of various design works, and the final price will be subject to the particular conditions of each project as well as the professional assessment of each designer" (folios 5, 6, and 7). It specifies that production costs and VAT are not included, and that prices are expressed in euros.</w:t>
      </w:r>
    </w:p>
    <w:p>
      <w:r>
        <w:t>19. As explained by the Investigation Directorate in the PCH:</w:t>
        <w:br/>
        <w:t>“(36). The design services described are structured into six categories:</w:t>
        <w:br/>
        <w:t>− Corporate identity: logo, basic corporate image, corporate identity manual, corporate image for specific events, and application of stationery not contemplated in the basic manual.</w:t>
        <w:br/>
        <w:t>− Brochures and catalogs: diptych or triptych, poster, letter/menu, and brochure/catalog.</w:t>
        <w:br/>
        <w:t>− Editorial: book or publication cover, magazine or publication design, layout, economic report/yearbook, editorial graphic line, agenda, and calendar.</w:t>
        <w:br/>
        <w:t>− Packaging: Disc/CD/DVD, commercial bag, graphic adaptation to packaging, and packaging for product.</w:t>
        <w:br/>
        <w:t>− Signage: signage system, design of plate/icon/sign, information panel, and illustrations for diptych/triptych/poster, advertising campaign, weekly/monthly magazine, mascot, graphic/table/diagram, location map, and daily press.</w:t>
        <w:br/>
        <w:t>− Web/Multimedia: presentation for conference, advertising banner, email design, design of physical website, design of basic website, design of corporate website, and design of web portal.”</w:t>
      </w:r>
    </w:p>
    <w:p>
      <w:r>
        <w:t>The development of the rates</w:t>
        <w:br/>
        <w:t>20. According to the defendant's statement, and as explained in the PCH:</w:t>
        <w:br/>
        <w:t>“(37) In the development of the analyzed fee schedule, the Association of Graphic Designers of Asturias took as a reference (folio 26) the structure and classification of concepts contained in the book "The Value of Design" (folios 46 to 51), prepared and published by the Association of Designers of the Valencian Community in 2008.</w:t>
        <w:br/>
        <w:t>(38) For the determination of the amounts, the Association of Graphic Designers of Asturias conducted a study of the prices that Asturian designers applied to their projects.</w:t>
      </w:r>
    </w:p>
    <w:p>
      <w:r>
        <w:rPr>
          <w:b/>
        </w:rPr>
        <w:t>[Pages 7–9]</w:t>
      </w:r>
    </w:p>
    <w:p>
      <w:r>
        <w:t>applied to their projects, making an average which is the one that was included in the fee schedule (folios 25 and 26)."</w:t>
      </w:r>
    </w:p>
    <w:p>
      <w:r>
        <w:t>The decision to develop the fees</w:t>
        <w:br/>
        <w:t>(39) The Association of Graphic Designers of Asturias states that the fee schedule is the response to the demands of the members of the Association and other professionals in the sector in Asturias for references that help them prepare budgets, as in many cases they were unaware of how costs were determined (folio 25).</w:t>
      </w:r>
    </w:p>
    <w:p>
      <w:r>
        <w:t>(40) In this way, and in accordance with article 23.j) of its statutes (folio 40) which indicates that it is the function of the board of directors to prepare reports and studies of interest for the members, a study was conducted on the prices applied by Asturian designers (folio 25), the average of which was included in the fee schedule.</w:t>
      </w:r>
    </w:p>
    <w:p>
      <w:r>
        <w:t>The dissemination of the fees</w:t>
        <w:br/>
        <w:t>(41) The Association of Graphic Designers of Asturias states that it was always made clear that said fee schedule constituted a guideline and that each professional was free to increase or decrease the recommended amount (folios 25 and 25), and therefore, it should be taken as a mere reference and not as an obligation.</w:t>
      </w:r>
    </w:p>
    <w:p>
      <w:r>
        <w:t>(42) The only dissemination activity (folio 27) of the fee schedule that has been accredited, in addition to its publication on the website, was done through the Association's Facebook Group and consisted of a brief notification (folio 74) by one of the members regarding the launch of the new website on November 22, 2010.</w:t>
      </w:r>
    </w:p>
    <w:p>
      <w:r>
        <w:t>(43) The existence of this reference fee schedule has been mentioned in several blogs by professionals in the sector (folios 63 to 72). Similarly, press articles also cover the initiative and objectives of the association (folios 89 to 91).</w:t>
      </w:r>
    </w:p>
    <w:p>
      <w:r>
        <w:t>(44) According to the Association of Graphic Designers of Asturias, no mechanism for monitoring or supervising the effective application of the recommended fee schedule was established (folio 27).</w:t>
      </w:r>
    </w:p>
    <w:p>
      <w:r>
        <w:t>(45) There is also no record that the Association of Graphic Designers of Asturias (AGA) had previously developed a recommended fee schedule or document with similar objectives or effects prior to the events analyzed.</w:t>
      </w:r>
    </w:p>
    <w:p>
      <w:r>
        <w:t>(46) Likewise, the existence of agreements or arrangements related to said fee schedule with other sector associations, companies, agencies, or associations of graphic designers from other territorial areas has not been confirmed.</w:t>
      </w:r>
    </w:p>
    <w:p>
      <w:r>
        <w:t>The withdrawal of the fee schedule from the website</w:t>
        <w:br/>
        <w:t>(47) On May 19, 2011, the date on which the initiation of the present file was communicated, the Association of Graphic Designers of Asturias removed (folio 29) the document in question from the website, posting in its place the message "This section is temporarily disabled. We apologize for the inconvenience" (folio 75).</w:t>
      </w:r>
    </w:p>
    <w:p>
      <w:r>
        <w:t>(48) On May 28, 2011 (folio 29), the Association of Graphic Designers of Asturias definitively removed from the association's website, on its own initiative, the link to the analyzed fee schedule, and there is currently no reference to it on that website (folios 92 and 93).</w:t>
      </w:r>
    </w:p>
    <w:p>
      <w:r>
        <w:t>(49) Therefore, the document is no longer available to either the general public or the members (folio 30), and the Association of Graphic Designers of Asturias states that despite being requested by email, any request for the resending of the fee schedule after its withdrawal has been denied (folio 80).</w:t>
      </w:r>
    </w:p>
    <w:p>
      <w:r>
        <w:t>(50) Finally, on June 2, 2011, the Association of Graphic Designers of Asturias sent an email to its members (folios 29, 30, 76, and 77) informing them of the initiation of the present file, indicating the start of the necessary actions to resolve the situation and reminding that these were informative fees presented as general guidance and never binding."</w:t>
      </w:r>
    </w:p>
    <w:p>
      <w:r>
        <w:t>LEGAL GROUNDS</w:t>
        <w:br/>
        <w:t>FIRST.- Object of the Resolution</w:t>
        <w:br/>
        <w:t>The Proposal for Resolution that the Investigation Directorate has submitted to the Council, in accordance with the provisions of articles 50.5 of the LDC and 34.2 of the RDC, concludes that the existence of an infringement of article 1 of the LDC has been accredited, consisting of a collective recommendation, through the website, aimed at guiding the prices of graphic design services, with the capacity to distort the conditions of competition in the market, being the Association of Graphic Designers of Asturias responsible for it.</w:t>
      </w:r>
    </w:p>
    <w:p>
      <w:r>
        <w:t>The Council must resolve, after analyzing the proposal from the Investigation Directorate and the allegations of the interested party, whether the proven facts in the Statement of Facts indeed constitute an infringement of article 1.1 of the LDC, qualifying as a very serious infringement in accordance with article 62.4.a) of the LDC, for which the Association of Graphic Designers of Asturias would be legally responsible, punishable by a fine in accordance with the provisions of article 63 of the same Law.</w:t>
      </w:r>
    </w:p>
    <w:p>
      <w:r>
        <w:t>SECOND.- The Proposal of the Investigation Directorate</w:t>
        <w:br/>
        <w:t>The Investigation Directorate, after analyzing the facts, proposes to the Council that:</w:t>
      </w:r>
    </w:p>
    <w:p>
      <w:r>
        <w:t>FIRST. That the existence of an infringement for conduct prohibited by article 1 of the LDC be declared, consisting of collective recommendations aimed at guiding the prices of professional design services, which may produce as an effect a distortion of competition in the market.</w:t>
      </w:r>
    </w:p>
    <w:p>
      <w:r>
        <w:t>SECOND. That the Association of Graphic Designers of Asturias be declared responsible for said infringement.</w:t>
      </w:r>
    </w:p>
    <w:p>
      <w:r>
        <w:t>THIRD. That the prohibited conduct be classified, for the purposes of determining the sanction to be imposed, as a very serious infringement of article 62.4.a) of the LDC.</w:t>
      </w:r>
    </w:p>
    <w:p>
      <w:r>
        <w:t>FOURTH. That the sanction provided for in article 63 of the LDC be imposed, taking into account the criteria for determining the sanction provided for in article 64 of the LDC.</w:t>
      </w:r>
    </w:p>
    <w:p>
      <w:r>
        <w:t>FIFTH. That the Association of Graphic Designers of Asturias be ordered to refrain in the future from carrying out the sanctioned practices and any other practices of equivalent effect.</w:t>
      </w:r>
    </w:p>
    <w:p>
      <w:r>
        <w:t>SIXTH. That the other pronouncements referred to in article 53 of the LDC be adopted, as far as they are pertinent.</w:t>
      </w:r>
    </w:p>
    <w:p>
      <w:r>
        <w:t>This proposal is reached by valuing that the Association of Graphic Designers of Asturias has developed and disseminated through its website recommended professional design fees that accredit the existence of a collective recommendation of fees aimed at setting minimum recommended prices to be applied by graphic designers, which is a conduct expressly prohibited in article 1.1 of the LDC. And it considers that the minimum fee schedule has both the purpose and possible effect of reducing the uncertainty that any economic activity entails, consequently limiting the development of effective competition in the relevant market considered, although as the Association claims, it never intended, either directly or indirectly, to set minimum or maximum prices for the services of its members or third parties, but rather aimed to provide timely, detailed, and always indicative information on the costs of carrying out graphic design work in Asturias (folios 26 and 27).</w:t>
      </w:r>
    </w:p>
    <w:p>
      <w:r>
        <w:t>The Investigation Directorate points out that the document itself states that "These fees correspond to minimum prices recommended by AGA for the performance of various design works," and therefore the "guiding spirit" of the same is clear. And this is also reflected in the media.</w:t>
      </w:r>
    </w:p>
    <w:p>
      <w:r>
        <w:t>It continues its assessment based on doctrine, citing the most recent (RCNC of May 27, 2009 S/0064/08 Veterinarians specializing in equines and April 12, 2010 S/0059/08 Anagrual) and recalls that: "Likewise, the extinct Competition Defense Tribunal, predecessor of the current Council of the CNC, has repeatedly pointed out, in similar proceedings, the infringement and harm to competition of these collective recommendations which are, by definition, agreements of an indicative nature adopted by institutions formed by economic operators, being irrelevant whether they are binding or not, as they faithfully constitute the will of the association to coordinate the behavior of its members."</w:t>
      </w:r>
    </w:p>
    <w:p>
      <w:r>
        <w:rPr>
          <w:b/>
        </w:rPr>
        <w:t>[Pages 10–12]</w:t>
      </w:r>
    </w:p>
    <w:p>
      <w:r>
        <w:t>decisions sobre la elaboración de dicho listado se realizó en reuniones de la junta directiva de la Asociación, donde se discutieron y acordaron los precios a incluir.</w:t>
      </w:r>
    </w:p>
    <w:p>
      <w:r>
        <w:t>El Consejo considera que esta conducta tiene un impacto negativo en la competencia, ya que la publicación de precios recomendados puede influir en las decisiones de precios de los miembros de la asociación y de otros operadores en el mercado, generando un efecto de alineación en la fijación de precios que limita la competencia efectiva.</w:t>
      </w:r>
    </w:p>
    <w:p>
      <w:r>
        <w:t>Por lo tanto, el Consejo concluye que la conducta de la Asociación de Diseñadores Gráficos de Asturias, al elaborar y publicar un tarifario mínimo recomendado, constituye una infracción del artículo 1 de la LDC, y se procede a imponer la sanción correspondiente, así como a instar a la asociación a cesar en dicha conducta y a adoptar medidas para evitar futuras infracciones.</w:t>
      </w:r>
    </w:p>
    <w:p>
      <w:r>
        <w:rPr>
          <w:b/>
        </w:rPr>
        <w:t>[Pages 13–15]</w:t>
      </w:r>
    </w:p>
    <w:p>
      <w:r>
        <w:t>negocios de sus miembros, en la medida en que estos sean responsables de la infracción.”</w:t>
      </w:r>
    </w:p>
    <w:p>
      <w:r>
        <w:t>SÉPTIMO.- La graduación de la sanción</w:t>
        <w:br/>
        <w:t>El Consejo, al establecer la cuantía de la sanción, tendrá en cuenta las circunstancias atenuantes y agravantes que puedan concurrir en el caso. Entre las circunstancias atenuantes se considera la colaboración de la Asociación de Diseñadores Gráficos de Asturias durante la instrucción del expediente, así como la retirada de la publicación del tarifario de su página web. Sin embargo, la gravedad de la infracción y su potencial impacto en el mercado, así como la naturaleza de la conducta, que se enmarca dentro de un cártel, son circunstancias que deben ser valoradas como agravantes.</w:t>
      </w:r>
    </w:p>
    <w:p>
      <w:r>
        <w:t>OCTAVO.- Conclusiones</w:t>
        <w:br/>
        <w:t>Por todo lo expuesto, el Consejo considera que la Asociación de Diseñadores Gráficos de Asturias ha incurrido en una infracción tipificada en el artículo 1 de la LDC, al haber promovido una recomendación colectiva de precios que restringe la competencia. En consecuencia, se impone una sanción económica que refleje la gravedad de la infracción y que sirva como disuasión para evitar conductas similares en el futuro.</w:t>
      </w:r>
    </w:p>
    <w:p>
      <w:r>
        <w:rPr>
          <w:b/>
        </w:rPr>
        <w:t>[Pages 16–17]</w:t>
      </w:r>
    </w:p>
    <w:p>
      <w:r>
        <w:t>business of its members.” The association has submitted, at the request of the CNC, this billing volume for the years 2010 and 2011.</w:t>
      </w:r>
    </w:p>
    <w:p>
      <w:r>
        <w:t>In the case at hand, the duration of the infringement is less than one year, so the annual coefficient is one. The infringement covers part of the year 2010 and part of the year 2011, so the billing volume has been taken as the corresponding part for the period of 2010 and the period of 2011. We start from an affected business volume of 1,285,000 Euros.</w:t>
      </w:r>
    </w:p>
    <w:p>
      <w:r>
        <w:t>Additionally, other elements are present such as the absence of proof of effects, a highly fragmented market, short duration, withdrawal from the website after the first action by the CNC, and limited scope, since although access to that list was free, the representation of the association would not reach 1% in the national market. Consequently, the Council considers it appropriate to impose a fine amounting to the result of applying a percentage of 0.5 to the business volume formed by the respective business volumes of the members. The result is a sanction of 6,400 euros, which is below the legal maximum limit of 257,600 € (10% of the business volume of the members), and below the Association's budget of 10,000 euros per year.</w:t>
      </w:r>
    </w:p>
    <w:p>
      <w:r>
        <w:t>The Council views the withdrawal from the website after the first act of the Directorate of Investigation positively, and this has been considered when setting the percentage to be applied to the business volume and calculating the sanction, but does not consider that this conduct falls within those typified in Article 64.3, nor in the nature of the types of conduct described in that article. Regarding the allegation made by the sanctioned party about the ruling of the Audiencia Nacional in the appeal of ANAGRUAL against RCNC S/0058/08, dated February 10, 2011, regarding the partial acceptance of the appeal, this Council must clarify that it is not applicable to the case, as the Audiencia Nacional based the reduction of the proposed sanction on the fact that while the recommendation of minimum prices was proven, the dissemination of the same was not proven. In this case, the dissemination of the price list is proven, as it was available on the Association's website for more than six months.</w:t>
      </w:r>
    </w:p>
    <w:p>
      <w:r>
        <w:t>For all the above reasons, having regard to the cited provisions and other generally applicable ones, this Council</w:t>
      </w:r>
    </w:p>
    <w:p>
      <w:r>
        <w:t>HAS RESOLVED</w:t>
      </w:r>
    </w:p>
    <w:p>
      <w:r>
        <w:t>First.- To declare that the ASSOCIATION OF GRAPHIC DESIGNERS OF ASTURIAS has infringed Article 1 of Law 15/2007, of July 3, on the Defense of Competition, by engaging between 2010 and 2011 in conduct contrary to Article 1 as delineated in the Fourth Legal Basis of this resolution and classified as very serious.</w:t>
      </w:r>
    </w:p>
    <w:p>
      <w:r>
        <w:t>Second.- To impose on the ASSOCIATION OF GRAPHIC DESIGNERS OF ASTURIAS a fine of 6,400 euros (SIX THOUSAND FOUR HUNDRED EUROS).</w:t>
      </w:r>
    </w:p>
    <w:p>
      <w:r>
        <w:t>Third.- To urge the Directorate of Investigation of the National Competition Commission to monitor compliance with this Resolution.</w:t>
      </w:r>
    </w:p>
    <w:p>
      <w:r>
        <w:t>Communicate this Resolution to the Directorate of Investigation, and notify the interested party, informing them that against it there is no other recourse than the contentious-administrative one that may proceed, in due course, against the Resolution of the Council that concludes the file in the administrative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