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https://www.cnmc.es/expedientes/s034311</w:t>
      </w:r>
    </w:p>
    <w:p>
      <w:r>
        <w:t>Pages translated : 71</w:t>
      </w:r>
    </w:p>
    <w:p/>
    <w:p>
      <w:r>
        <w:rPr>
          <w:b/>
        </w:rPr>
        <w:t>[Pages 1–3]</w:t>
      </w:r>
    </w:p>
    <w:p>
      <w:r>
        <w:t xml:space="preserve">RESOLUTION  </w:t>
        <w:br/>
        <w:t xml:space="preserve">(EXPTE. S/0343/11 PAPER PROCESSING)  </w:t>
        <w:br/>
        <w:t xml:space="preserve">COUNCIL:  </w:t>
        <w:br/>
        <w:t xml:space="preserve">Mr. Joaquín García Bernaldo de Quirós, President  </w:t>
        <w:br/>
        <w:t xml:space="preserve">Ms. Pilar Sánchez Núñez, Vice-President  </w:t>
        <w:br/>
        <w:t xml:space="preserve">Mr. Julio Costas Comesaña, Councilor  </w:t>
        <w:br/>
        <w:t xml:space="preserve">Ms. Mª Jesús González López, Councilor  </w:t>
        <w:br/>
        <w:t xml:space="preserve">Ms. Inmaculada Gutiérrez Carrizo, Councilor  </w:t>
        <w:br/>
        <w:t xml:space="preserve">Mr. Luis Díez Martín, Councilor  </w:t>
        <w:br/>
        <w:t xml:space="preserve">In Madrid, on February 15, 2013  </w:t>
        <w:br/>
        <w:t xml:space="preserve">The Council of the National Commission of Competition (the Council), with the composition already expressed and being Rapporteur Ms. Pilar Sánchez Núñez, has issued the following Resolution in the sanctioning file S/0343/11 PAPER PROCESSING, initiated by the Directorate of Investigation against ENRI 2000, S.A., PACSA PAPELERA DEL CARRIÓN, S.L.; UNIPAPEL TRANSFORMACIÓN Y DISTRIBUCIÓN, S.A., MANUFACTURAS TOMPLA, S.A., HOLDHAM, S.A. and UNIPAPEL, S.A., for alleged restrictive practices of competition prohibited under Article 1 of Law 16/1989, of July 17, on the Defense of Competition and Article 101 of the Treaty on the Functioning of the European Union (TFEU).  </w:t>
        <w:br/>
        <w:t xml:space="preserve">FACTUAL BACKGROUND  </w:t>
        <w:br/>
        <w:t xml:space="preserve">Regarding the application for the leniency program by UNIPAPEL  </w:t>
        <w:br/>
        <w:t xml:space="preserve">1. On September 14, 2010, the company UNIPAPEL, S.A. (hereinafter, UNIPAPEL), parent company of the UNIPAPEL group, submitted a written request for the application of the exemption and reduction of sanctions program regulated in Articles 65 and 66 of the LDC. (folios …). Subsequently, various supplementary writings to this request were submitted, specifically on September 17, 2010 (folios …), September 21, 2010 (folios …), September 24, 2010 (folios …), September 30, 2010 (folios …), October 6, 2010 (folios …), October 15, 2010 (folios …), October 21, 2010 (folios …), October 22, 2010 (folios …), October 26, 2010 (folios …), November 5, 2010 (folios …), November 16, 2010 (folios …), November 25, 2010 (folios …), February 7, 2011 (folios …), February 24, 2011 (folios …) and October 4, 2011 (folios …). All this information was included in a Preliminary Proceedings file (DP 049/10), in accordance with the provisions of Article 49.2 of the LDC, in order to preliminarily determine the existence of circumstances justifying the initiation of a sanctioning file for conduct contrary to the LDC. On October 26, 2010, under the application of Article 47.1 of Royal Decree 261/2008, of February 22, which approves the Regulation on Defense of Competition (RDC), the Directorate of Investigation granted conditional exemption to UNIPAPEL, considering that Article 65.1.a) of the LDC was applicable. On February 15, 2011, the DI requested from the representatives of UNIPAPEL, within the framework of their request for exemption from the payment of the fine, a series of clarifications regarding certain aspects of said request (folios …). On February 24, 2011, the representatives of UNIPAPEL submitted a written response to the clarifications (folios …).  </w:t>
        <w:br/>
        <w:t xml:space="preserve">2. On November 14, 2011, the DI requested from UNIPAPEL certain information regarding specific aspects of the alleged infringing conduct in the paper processing market in the context of its request for exemption from the payment of the fine submitted by said company (folios …), which, after an extension of the deadline, was answered on December 1, 2011 (folios …).  </w:t>
        <w:br/>
        <w:t xml:space="preserve">3. On March 28, 2012, the legal representatives of UNIPAPEL submitted a written request for confidentiality regarding part of the documentation provided by the company in the context of its request for exemption from the payment of the fine (folios …).  </w:t>
        <w:br/>
        <w:t xml:space="preserve">Regarding the home inspection carried out at ENRI's headquarters  </w:t>
        <w:br/>
        <w:t xml:space="preserve">4. On October 27, 2010, the CNC carried out an inspection at the headquarters of ENRI 2000, S.A. (hereinafter, ENRI), in which the personnel designated by the Catalan Competition Authority collaborated, under Articles 40 of the LDC, 4.1.d) of Law 30/1992, of November 26, on the Legal Regime of Public Administrations and Common Administrative Procedure, and the principles established in Law 1/2002, of February 21, on the Coordination of the Competences of the State and the Autonomous Communities in the field of Competition Defense. During the inspections, copies of documents were obtained, which will be detailed in the following sections, and the corresponding inspection report was drawn up (folios 185 to 197).  </w:t>
        <w:br/>
        <w:t xml:space="preserve">5. On November 2, 2010, the representatives of ENRI 2000, S.A. submitted a written response to the inspection report drawn up at the company's headquarters during the inspection carried out on October 27, 2010 (folios 274 to 290). On November 3, 2010, the DI notified the representatives of ENRI of the summons to proceed with the opening at the CNC, in the presence of the company, of the sealed pendrive during the inspection carried out at ENRI's headquarters on October 27, 2010 (folios 328 to 329). On November 4, 2010, at the headquarters of the CNC and in the presence of the legal representatives of ENRI, the seal was removed and access was granted to the pendrive collected during the inspection carried out on October 27, 2010, at ENRI's headquarters, after which it was returned to the representatives of the aforementioned company (folio 336).  </w:t>
        <w:br/>
        <w:t xml:space="preserve">6. On August 24, 2011, the DI notified the legal representatives of ENRI of a written declaration of confidentiality regarding certain documentation in paper format collected during the inspection at the company's headquarters and incorporated into the file by a writing of May 10, 2011, and requested the company to provide a legible copy of the original of folio 5 collected during the inspection (folios 1631 to 1637).  </w:t>
        <w:br/>
        <w:t xml:space="preserve">7. On March 16, 2012, the DI requested UNIPAPEL for the confidentiality of the documentation provided in the context of the request for exemption from the payment of the fine submitted by said company (folios 2070 to 2076).  </w:t>
        <w:br/>
        <w:t xml:space="preserve">Regarding the information requests  </w:t>
        <w:br/>
        <w:t xml:space="preserve">8. On October 27, 2010, the DI notified a request for information regarding the Spanish paper processing market, as well as its ownership and control structure to UNIPAPEL (folios 237 to 239), PACSA, PAPELERA DEL CARRIÓN, S.L. (hereinafter, PACSA) (folios 242 to 244) and PESTAÑA ARAOZ, C.B. (commercially known as MANIPULADOS ZORRILLA, hereinafter ZORRILLA) (folios 247 to 249). After the deadlines for response were extended at the request of PACSA and UNIPAPEL, the information requests were answered at different times. On November 10, 2010, the representatives of ZORRILLA did so, requesting confidentiality for certain information provided in that writing (folios 385 to 468). On November 15, 2010, the representatives of PACSA submitted a written response to the information request of October 27, 2010, requesting confidentiality for certain information provided in that writing (folios 481 to 692). On November 16, 2010, the representatives of UNIPAPEL submitted a written response to the information request of October 27, 2010, requesting confidentiality for certain information provided in that writing (folios 706 to 850).  </w:t>
        <w:br/>
        <w:t xml:space="preserve">9. On November 5, 2010, the DI notified a request for information regarding the Spanish paper processing market, as well as its ownership and control structure to ENRI (folios 377 to 379). After the deadline for response was extended at the request of ENRI, on November 24, 2010, ENRI responded to the information request, requesting confidentiality for certain information provided in that writing (folios 857 to 915).  </w:t>
        <w:br/>
        <w:t xml:space="preserve">Regarding the home inspection carried out at PACSA's headquarters  </w:t>
        <w:br/>
        <w:t xml:space="preserve">10. On March 30, 2011, the CNC carried out an inspection at the headquarters of PACSA. During the inspections, copies of several documents were obtained, and the corresponding inspection report was drawn up (folios 1024 to 1033). On April 1, 2011, the representatives of PACSA submitted a written notice regarding the confidentiality of certain electronic documents, protected by professional secrecy, collected during the inspection carried out at the company's headquarters on March 30, 2011 (folios 1208 to 1215), which were ultimately not incorporated into the file by the DI, being returned to the company along with the rest of the electronic documentation not incorporated into the file.  </w:t>
        <w:br/>
        <w:t>11. On August 25, 2011, the DI notified the legal representatives of PACSA a written declaration of confidentiality regarding certain documentation in paper format collected during the inspection at the headquarters of</w:t>
      </w:r>
    </w:p>
    <w:p>
      <w:r>
        <w:rPr>
          <w:b/>
        </w:rPr>
        <w:t>[Pages 4–6]</w:t>
      </w:r>
    </w:p>
    <w:p>
      <w:r>
        <w:t xml:space="preserve">the company and incorporated into the file by means of a document dated May 11, 2011 (folios 1638 to 1646).  </w:t>
        <w:br/>
        <w:t xml:space="preserve">12. On September 20, 2011, the DI notified the legal representatives of PACSA of a request for information related to the clarification of a series of data contained in certain documents collected during the inspection carried out at the company's headquarters (folios 1700 to 1705). It was answered on September 23, 2011 (folios 1717 to 1723).  </w:t>
        <w:br/>
        <w:t xml:space="preserve">13. On January 9, 2012, the DI notified the legal representatives of PACSA of the agreement declaring the confidentiality of part of the documentation in electronic format collected during the inspection at the company's headquarters and incorporated into the file by means of a document dated June 16, 2011 (folios 1897 to 1909).  </w:t>
        <w:br/>
        <w:t xml:space="preserve">Inception  </w:t>
        <w:br/>
        <w:t xml:space="preserve">14. On April 27, 2011, based on the reserved information obtained, the DI observed rational indications of the existence of conduct prohibited by the LDC, and therefore, in accordance with the provisions of Article 49.1 of the LDC, agreed to initiate the sanctioning file S/343/11 Paper Processing for restrictive competition practices prohibited in Article 1 of Law 16/1989, of July 17, in Article 1 of the LDC and in Article 101 of the TFEU, against ENRI, PACSA, and UNIPAPEL, which was notified to the entities involved on the same day (folios 1226 to 1245).  </w:t>
        <w:br/>
        <w:t xml:space="preserve">15. On May 9, 2012, in accordance with the provisions of Article 29 of the RDC, the DI agreed to extend the initiation agreement of the reference file to MANUFACTURAS TOMPLA, S.A., HOLDHAM, S.A., and UNIPAPEL, S.A. after becoming aware, through information in the file, of the possible participation of these companies in the investigated practices, an agreement that was notified on the same day to all entities involved in this sanctioning file (folios 4623 to 4642).  </w:t>
        <w:br/>
        <w:t xml:space="preserve">Requests for Information after Inception  </w:t>
        <w:br/>
        <w:t xml:space="preserve">16. On June 30, 2011, the DI requested information from the NATIONAL ASSOCIATION OF ENVELOPE AND PAPER AND CARTON PROCESSORS IN EDUCATION AND OFFICE (hereinafter, ASSOMA) regarding the structure and organization of the Association, also requesting the electronic submission of the minutes of the meetings of its governing and administrative bodies since 1995 (folios 1582 to 1587). A response was received on July 11 (folios 1594 to 1613). On July 14, 2011, the DI notified ASSOMA of the agreement to return the CD submitted along with the document of July 11, 2011, after incorporating part of the documentation contained in that CD into the file in paper format (folios 1626 and 1627).  </w:t>
        <w:br/>
        <w:t xml:space="preserve">17. On November 7, 2011, the DI notified the Office Supplies Suppliers Group DISNAK, AIE and the Paper Group Novax, S.L. of a request for information related to the commercial activities of both companies and their relationships with paper processors (folios 1728 to 1738). It was answered on November 21, 2011 (folios 1757 to 1801).  </w:t>
        <w:br/>
        <w:t xml:space="preserve">18. On April 19, 2012, the DI notified Al Andalus, S.L., Alcampo, S.A., Almacenes Páez, S.L. (MAKROPAPER), Antalis Office Supplies, S.L., ASUYMA, S.L., Carlin Ventas Directas, S.A., Carrefour Commercial Centers, S.A., Distrisantiago Papelería, S.L., Folder Papelerías, S.A., Fulvio Navarro e Hijos, S.L., Grupo ACCS, Paper Distribution Group Pentadis, S.L., Eroski Distribution Group, S.A., Hispánica Mayor de Papelería, S.A., MAKRO Wholesale Self-Service, S.A., SPICERS España, S.L.U, STAPLES Office Products and New Paper Distribution Group, S.L., a request for information related to the commercial activities of these companies and their relationships with paper processors (folios 2724 to 2779). After granting the requested extensions to respond to this request, the responses were received as follows. On April 24, 2012, CARLIN VENTAS DIRECTAS, S.A. and AL ANDALUS, S.L. (folios 2808 to 2821 and 2822 to 2823, respectively). On April 25, 2012, ALMACENES PAEZ, S.L. (MAKROPAPER) and NEWPAPER DISTRIBUTION GROUP, S.L. (folios 2826 and 2827 to 2828, respectively). On April 26, 2012, PENTADIS PAPER DISTRIBUTION GROUP, S.L., ACCS GROUP and STAPLES OFFICE PRODUCTS, S.L (folios 2839 to 2873, 2874 to 2877 and 2878 to 2879, respectively). On April 27, 2012, HISPANICA MAYOR DE PAPELERÍA, S.A., DISTRISANTIAGO PAPELERÍA, S.L. and CARREFOUR COMMERCIAL CENTERS, S.A. (folios 2885 to 2892, 2893 to 2990 and 2901 to 4401, respectively). On April 30, 2012, EROSKI DISTRIBUTION GROUP, S.A. and ALMACENES PAEZ, S.L. (MAKROPAPER) (folios 4402 to 4416 and 4417, respectively). On May 3, 2012, FULVIO NAVARRO E HIJOS S.L. (folios 4418 to 4420). On May 3, 2012, ALCAMPO, S.A. and SPICERS ESPAÑA, S.L.U (folios 4426 to 4449 and 4450 to 4472, respectively). On May 4, 2012, LYRECO ESPAÑA, S.A. (folios 4484 to 4539). On May 8, 2012, FOLDER PAPELERÍAS, S.A. (folios 4547 and 4548). On May 9, 2012, MAKRO WHOLESALE SELF-SERVICE, S.A. (folios 4565 to 4617). On May 9 and 14, MAKRO (folios 4565-4617 and 4671). On May 16, ASUYMA (folios 4675).  </w:t>
        <w:br/>
        <w:t xml:space="preserve">19. On May 7, 2012, the DI notified the legal representatives of ENRI of a request for public information regarding the latest modifications in the corporate structure of the company and its parent company (folios 4541 to 4546). The response took place on May 11, 2011.  </w:t>
        <w:br/>
        <w:t xml:space="preserve">20. On May 8, 2012, the DI agreed to incorporate certain information published in the Commercial Registry and in the Official Bulletin of the Commercial Registry regarding ENRI and its parent company into the file (folios 4549 to 4564).  </w:t>
        <w:br/>
        <w:t xml:space="preserve">21. On May 10, 2012, the DI notified the legal representatives of MANUFACTURAS TOMPLA, S.A. of a request for information related to the corporate structure of the group (folios 4643 to 4647). The response took place on May 14, 2011 (folios 4672-4674).  </w:t>
        <w:br/>
        <w:t xml:space="preserve">Appeal filed with the Council by ENRI  </w:t>
        <w:br/>
        <w:t xml:space="preserve">22. On September 5, 2011, the legal representatives of ENRI filed an administrative appeal with the Council of the CNC against the agreement of August 24, 2011, which declared the confidentiality of part of the documentation in paper format collected during the inspection at the company's headquarters and denied the return of part of it.  </w:t>
        <w:br/>
        <w:t xml:space="preserve">23. On September 7, 2011, the Council of the CNC requested the DI for the mandatory report regarding the filing of the administrative appeal by ENRI against the agreement of August 24, 2011, which declared the confidentiality of part of the documentation in paper format collected during the inspection at the company's headquarters and denied the return of part of it (folio 1667).  </w:t>
        <w:br/>
        <w:t xml:space="preserve">24. On September 14, 2011, the DI notified all parties involved in the file of the agreement to suspend the processing of the reference file in exercise of the powers recognized in Article 37.1.d) of the LDC, due to the filing of an administrative appeal by ENRI (folios 1675 to 1685).  </w:t>
        <w:br/>
        <w:t xml:space="preserve">25. On December 1, 2011, the DI notified the legal representatives of the involved companies of the lifting of the suspension of the time limit for resolving the file, as a consequence of the Resolution of the Council of the CNC of September 5, 2011, resolving the appeal filed by ENRI on November 29, 2011, (R/0080/11, PAPER PROCESSING) (folios 1802 to 1812).  </w:t>
        <w:br/>
        <w:t xml:space="preserve">Regarding the request for application of the leniency program of TOMPLA/PACSA.  </w:t>
        <w:br/>
        <w:t xml:space="preserve">26. On December 22, 2011, PACSA submitted a request for exemption from the payment of the fine for the purposes of Article 65 of the LDC or, alternatively, for a reduction of the amount of the fine, for the purposes of Article 66 of the LDC, that could be imposed for the commission of an infringement of Article 1 of the LDC, consisting of maintaining the existing status quo in the notebook sector since 1995 (folios …). On December 23, 2011, the DI notified PACSA of the agreement rejecting its request for exemption from the payment of the fine under the provisions of Article 47.2 of the RDC, for not meeting the conditions established in Article 65.1 of the LDC, as well as its consideration as an applicant for a reduction of the amount of the fine, in accordance with the provisions of Article 66 of the LDC (folios …).  </w:t>
        <w:br/>
        <w:t xml:space="preserve">27. On January 30, 2012, the DI notified PACSA of the agreement requesting the company to express its position on the confidentiality of the documentation submitted in the context of its request for a reduction of the amount of the fine (folios …).  </w:t>
        <w:br/>
        <w:t>28. On February 8, the legal representatives of PACSA requested an extension of the deadline to express their position on the confidentiality required by the DI in its document of January 30, 2012 (folio …), to which the DI agreed by means of the corresponding notification on February 9, 2012 (folios …).</w:t>
      </w:r>
    </w:p>
    <w:p>
      <w:r>
        <w:rPr>
          <w:b/>
        </w:rPr>
        <w:t>[Pages 7–9]</w:t>
      </w:r>
    </w:p>
    <w:p>
      <w:r>
        <w:t>29. On February 20, 2012, the legal representatives of PACSA submitted a document requesting confidentiality for part of the documentation provided by the company, in the context of its request for a reduction of the fine amount (folios …), which was accepted by the DI by agreement dated May 7, 2012.</w:t>
      </w:r>
    </w:p>
    <w:p>
      <w:r>
        <w:t>30. On March 16, 2012, the DI requested from the legal representatives of PACSA, in the framework of their request for a reduction of the fine amount, a series of clarifications regarding certain aspects of that request (folios …).</w:t>
      </w:r>
    </w:p>
    <w:p>
      <w:r>
        <w:t>31. On March 29, 2012, the legal representatives of PACSA submitted a document to the DI in response to the request for clarifications dated March 16, 2012, in the context of their request for a reduction of the fine amount (folios …).</w:t>
      </w:r>
    </w:p>
    <w:p>
      <w:r>
        <w:t>Statement of Facts</w:t>
      </w:r>
    </w:p>
    <w:p>
      <w:r>
        <w:t>32. On May 17, 2012, the Statement of Facts (PCH) was formulated, and it was notified to the interested parties on the same day. The allegations to the PCH were received on the following dates: on June 7, the allegations from UNIPAPEL (folios 4862-4871) and from UNIPAPEL TRANSFORMACIÓN Y DISTRIBUCIÓN, S.A. (folios 4872-4881), on June 8, the allegations from TOMPLA (folios 4908-4917), on June 11, the allegations from ENRI (folios 4918-5624), and on June 15, the allegations from HOLDMAN (folios 5625-5674).</w:t>
      </w:r>
    </w:p>
    <w:p>
      <w:r>
        <w:t>33. On June 27, the Agreement for the closure of the instruction phase was issued.</w:t>
      </w:r>
    </w:p>
    <w:p>
      <w:r>
        <w:t>Proposal for Resolution to the Council</w:t>
      </w:r>
    </w:p>
    <w:p>
      <w:r>
        <w:t>34. On June 28, 2012, the Directorate of Investigation issued a Proposal for Resolution which was notified on the same day. On June 16, 2012, after granting an extension at the request of the interested parties, documents containing allegations to the Proposal for Resolution were received at the CNC headquarters from: TOMPLA (folios 5937-5953), UNIPAPEL (folios 5954-5958), UNIPAPEL TRANSFORMACIÓN Y DISTRIBUCIÓN (folios 5959-5963), and ENRI (folios 5964-5998-6063). On July 24, the allegations from HOLDMAN were received.</w:t>
      </w:r>
    </w:p>
    <w:p>
      <w:r>
        <w:t>35. On July 24, 2012, the Directorate of Investigation submitted its Proposal for Resolution Report to the CNC Council along with the file for resolution in accordance with Article 50.4 of the LDC.</w:t>
      </w:r>
    </w:p>
    <w:p>
      <w:r>
        <w:t>36. On December 13, 2012, the Council issued an Agreement for the referral to the European Commission of the Proposal for Resolution of the file in the terms indicated in Article 11.4 of Regulation EC 1/2003, informing the interested parties and suspending, based on Article 37.2.c) of Law 15/2007, the calculation of the maximum period for resolving the file until the European Commission responded to the information sent. After the 30-day period referred to in the last provision mentioned, by Agreement of December 17, 2012, the resumption of the calculation of the maximum period for resolving the reference file was agreed and notified.</w:t>
      </w:r>
    </w:p>
    <w:p>
      <w:r>
        <w:t>37. On July 30, 2012, UNIPAPEL communicated to the CNC the change of its corporate name, becoming ADVEO GROUP INTERNATIONAL, S.A.</w:t>
      </w:r>
    </w:p>
    <w:p>
      <w:r>
        <w:t>38. The CNC Council concluded the deliberation and ruling of this resolution on February 13, 2013.</w:t>
      </w:r>
    </w:p>
    <w:p>
      <w:r>
        <w:t>39. The interested parties in this file are:</w:t>
        <w:br/>
        <w:t>- UNIPAPEL GROUP COMPANIES: UNIPAPEL TRANSFORMACIÓN Y DISTRIBUCIÓN, S.A. (UNIPAPEL) and UNIPAPEL, S.A.</w:t>
        <w:br/>
        <w:t>- TOMPLA GROUP COMPANIES: PACSA, PAPELERA DEL CARRIÓN, S.L. (PACSA) and MANUFACTURAS TOMPLA, S.A.</w:t>
        <w:br/>
        <w:t>- HAMELIN GROUP COMPANIES: ENRI 2000, S.L. (ENRI) and HOLDHAM, S.A. (HOLDHAM).</w:t>
      </w:r>
    </w:p>
    <w:p>
      <w:r>
        <w:t>PROVEN FACTS</w:t>
      </w:r>
    </w:p>
    <w:p>
      <w:r>
        <w:t>The proven facts in this file are based on the information obtained by the Directorate of Investigation from: (i) the applicant for exemption from the fine, (ii) the applicant for reduction of the fine amount; (iii) the documentation collected during the inspections of October 27, 2010, and March 30, 2011, carried out at the headquarters of ENRI and PACSA, respectively, and (iv) the requests for information made by the DI to both the cartel participants and their clients.</w:t>
      </w:r>
    </w:p>
    <w:p>
      <w:r>
        <w:t>About the Parties</w:t>
      </w:r>
    </w:p>
    <w:p>
      <w:r>
        <w:t>1. The description contained in the PCH regarding the companies affected by this sanctioning file is as follows:</w:t>
      </w:r>
    </w:p>
    <w:p>
      <w:r>
        <w:t>“3.1. UNIPAPEL GROUP COMPANIES: UNIPAPEL TRANSFORMACIÓN Y DISTRIBUCIÓN, S.A. (UNIPAPEL) and UNIPAPEL, S.A.</w:t>
      </w:r>
    </w:p>
    <w:p>
      <w:r>
        <w:t>(103) According to the information provided by the company, UNIPAPEL is a Spanish company with its registered office at Avenida de los Artesanos 28, 28760, Tres Cantos, Madrid, whose main activity consists of the transformation of paper and cardboard into office supplies (envelopes, paper products for school use-notebooks- and paper articles) for commercialization to both end customers (large clients) and its own wholesale distribution division. The corporate purpose of UNIPAPEL also includes the wholesale distribution of products intended for offices, education, and graphic arts, both of UNIPAPEL products and products manufactured by third parties. The company was established in 1999 as the successor to the activities of UNIPAPEL, S.A. among others in the paper processing sector.</w:t>
      </w:r>
    </w:p>
    <w:p>
      <w:r>
        <w:t>(104) The parent company of UNIPAPEL is UNIPAPEL, S.A., which is also the parent of the UNIPAPEL GROUP, being a holding company that groups the shares of the other companies in the group. The shares of UNIPAPEL, S.A. are listed on the Madrid and Valencia Stock Exchanges, with its share capital not being controlled by any individual or legal entity, as no shareholder exceeds 10% of the share capital.</w:t>
      </w:r>
    </w:p>
    <w:p>
      <w:r>
        <w:t>(105) During the 2010 fiscal year, a reorganization of the group was carried out, so that UNIPAPEL INTERNACIONAL, S.L. was absorbed by UNIPAPEL. In this sense, UNIPAPEL INTERNACIONAL, S.L. was established for the holding and management of shares in foreign companies of the group, and it was dependent on four companies: UNIPAPEL FRANCE, S.A.R.L. (France), UNIESPA, S.A. (Portugal), UNIPAPER ANDORRA, S.A. (Andorra), and UNIDEX, S.A.R.L. (Morocco). Following the merger, these four companies have come to depend on UNIPAPEL.</w:t>
      </w:r>
    </w:p>
    <w:p>
      <w:r>
        <w:t>3.2. TOMPLA GROUP COMPANIES: PACSA, PAPELERA DEL CARRIÓN, S.L. (PACSA) and MANUFACTURAS TOMPLA, S.A.</w:t>
      </w:r>
    </w:p>
    <w:p>
      <w:r>
        <w:t>(106) With its registered office at Carretera Husillos, s/n Km. 2,500 34410 Monzón de Campos (Palencia), as stated in its Bylaws, the corporate purpose of PACSA is the manufacture of paper, cardboard, and plastic products, transparent or not, of all kinds; the transformation, manipulation, and printing of the same, even grouping them together or incorporating other different ones; the commercialization of the products manufactured, treated, or transformed by the company itself, as well as products of the same kind that serve as a complement, including non-fungible goods intended for offices, even if they are manufactured by third parties.</w:t>
      </w:r>
    </w:p>
    <w:p>
      <w:r>
        <w:t>(107) This company was acquired by the TOMPLA Group in 1995. 99.99% of the shares representing the company's share capital are owned by Manipulados de Monzón, S.L., a company belonging to MANUFACTURAS TOMPLA, S.A., the parent company of the TOMPLA Group.</w:t>
      </w:r>
    </w:p>
    <w:p>
      <w:r>
        <w:t>(108) In 2006, it transformed from a public limited company (PAPELERA DEL CARRIÓN, S.A.) to a limited company (PACSA, PAPELERA DEL CARRIÓN, S.L.).</w:t>
      </w:r>
    </w:p>
    <w:p>
      <w:r>
        <w:t>3.3. HAMELIN GROUP COMPANIES: ENRI 2000, S.L. (ENRI) and HOLDHAM, S.A. (HOLDHAM)</w:t>
      </w:r>
    </w:p>
    <w:p>
      <w:r>
        <w:t>(109) ENRI was established on December 3, 1990, with a corporate purpose that includes the production and commercialization of office supplies, school supplies, books, paper products, cardboard, cardstock, plastic, and leather goods, office machinery, and products related to information technology, with its registered office at km 22.8 of Carretera C-66 in the municipality of Flaça (Gerona).</w:t>
      </w:r>
    </w:p>
    <w:p>
      <w:r>
        <w:t>(110) From 1995 until May 2010, ENRI 2000, S.A. was wholly controlled by EUROHOLDHAM. In May 2010, EUROHOLDHAM was absorbed by HOLDHAM, S.A. as a result of a corporate merger, with the latter acquiring 100% of the share capital of ENRI. HOLDHAM, S.A. is the parent company of the HAMELIN Group.</w:t>
      </w:r>
    </w:p>
    <w:p>
      <w:r>
        <w:t>(111) On January 1, 2011, ENRI 2000, S.A. was subject to a merger by absorption by the company ELBA SISTEMAS IBÉRICA, S.L., which as of January 1, 2011, changed its corporate name to HAMELIN BRANDS, S.L. On the same date, a simultaneous segregation of a branch of activity occurred.</w:t>
      </w:r>
    </w:p>
    <w:p>
      <w:r>
        <w:rPr>
          <w:b/>
        </w:rPr>
        <w:t>[Pages 10–12]</w:t>
      </w:r>
    </w:p>
    <w:p>
      <w:r>
        <w:t>by HAMELIN BRANDS, S.L. in favor of a new company named ENRI 2000, S.L.3</w:t>
      </w:r>
    </w:p>
    <w:p>
      <w:r>
        <w:t>(112) ENRI 2000, S.L. was incorporated on January 1, 2011, with the corporate purpose of manufacturing, selling, and distributing all types of office supplies. This company has the same Sole Administrator as the former ENRI 2000, S.A., its registered office is the same, and it has as its sole partner the company HAMELIN BRANDS, S.L.4 whose parent company is the French company HOLDHAM, S.A., the parent company of the HAMELIN Group5.</w:t>
      </w:r>
    </w:p>
    <w:p>
      <w:r>
        <w:t>About the Market</w:t>
      </w:r>
    </w:p>
    <w:p>
      <w:r>
        <w:t>2. Regarding the market in which the analyzed conduct takes place, the Directorate of Investigation provides the following description in the PCH:</w:t>
      </w:r>
    </w:p>
    <w:p>
      <w:r>
        <w:t>“4. MARKET CHARACTERIZATION</w:t>
      </w:r>
    </w:p>
    <w:p>
      <w:r>
        <w:t>4.1. REGULATORY FRAMEWORK</w:t>
      </w:r>
    </w:p>
    <w:p>
      <w:r>
        <w:t>(113) According to the information accessed by this DI, there is no specific regulatory framework for the paper processing market.</w:t>
      </w:r>
    </w:p>
    <w:p>
      <w:r>
        <w:t>(114) Regardless of the above, companies in the sector have implemented the international standard ISO 9001, which applies to quality management systems and specifically in this case, to the design, manufacturing, and marketing of school and office processing, as well as the Environmental Management Certificate ISO 14001.</w:t>
      </w:r>
    </w:p>
    <w:p>
      <w:r>
        <w:t>(115) A series of UNE standards also apply, which generally affect paper and cardboard and describe tolerances for measurements, weights, or refer to the realization of certain characteristics, humidity, resistance, and reflectance, fundamentally. These UNE standards, which are voluntarily complied with, are developed by Technical Standardization Committees formed by AENOR (Spanish Association for Standardization), manufacturers, consumers and users, administration, laboratories, and research centers.</w:t>
      </w:r>
    </w:p>
    <w:p>
      <w:r>
        <w:t>(116) From the above, it is observed that there is an absence of regulation in the paper processing sector that could imply the existence of a barrier to entry for other manufacturers of paper processing products not present in the market.</w:t>
      </w:r>
    </w:p>
    <w:p>
      <w:r>
        <w:t>4.2. MARKET FUNCTIONING</w:t>
      </w:r>
    </w:p>
    <w:p>
      <w:r>
        <w:t>4.2.1. Product Market</w:t>
      </w:r>
    </w:p>
    <w:p>
      <w:r>
        <w:t>(117) The analyzed market corresponds to the manufacturing, marketing, and distribution of paper processing in the Spanish market, including notebooks with various covers and sizes, as well as refills, reams, and notepads.</w:t>
      </w:r>
    </w:p>
    <w:p>
      <w:r>
        <w:t>(118) Regarding notebooks, they are marketed with different types of covers (soft, hard, extra hard, polypropylene, and blue cover, mainly), as well as in different sizes (folio, A3, A4, etc.), number of sheets, and weight/m2.</w:t>
      </w:r>
    </w:p>
    <w:p>
      <w:r>
        <w:t>(119) There are also different formats for the commercialization of both refills and reams, and pads with and without covers depending on the size, number of sheets, and weight/m2.</w:t>
      </w:r>
    </w:p>
    <w:p>
      <w:r>
        <w:t>4.2.2. Geographic Market</w:t>
      </w:r>
    </w:p>
    <w:p>
      <w:r>
        <w:t>(120) Regarding the geographic market, consistent jurisprudence of the CJEU6 has defined it as "the geographic area where the product in question is marketed and where the conditions of competition are sufficiently homogeneous to allow the assessment of the impact of the economic power of a particular company."</w:t>
      </w:r>
    </w:p>
    <w:p>
      <w:r>
        <w:t>(121) According to the above definition and taking into account the entities related in section 3 of this PCH, the collusive behaviors described are confined to the products marketed in the Spanish paper processing market. Therefore, the behaviors investigated by this DI are confined to the Spanish market, and this is the geographic market of reference in this sanctioning file.</w:t>
      </w:r>
    </w:p>
    <w:p>
      <w:r>
        <w:t>(122) When delimiting the geographic market affected by the facts under investigation in this sanctioning file, it is necessary to consider the relationship between the impact on intra-community trade and the geographic market, since the effects on trade between Member States are outlined as a requirement for the application of community competition law, understanding that all agreements and/or practices that may affect the freedom of trade between Member States and undermine the objectives of the single market are included within the scope of application of community competition law.</w:t>
      </w:r>
    </w:p>
    <w:p>
      <w:r>
        <w:t>(123) Aside from what is provided in the Guidelines regarding the concept of effect on trade contained in Articles 81 and 82 of the Treaty (current Articles 101 and 102 of the TFEU) of the European Commission7, in the Communication of the European Commission regarding the definition of the relevant market for the purposes of community competition law8, it is indicated that the relevant geographic market "comprises the area in which the affected companies carry out activities of supplying the products and providing the reference services, in which the conditions of competition are sufficiently homogeneous and that can be distinguished from other nearby geographic areas due, in particular, to the fact that the prevailing conditions of competition are significantly different from those."</w:t>
      </w:r>
    </w:p>
    <w:p>
      <w:r>
        <w:t>(124) Consequently, it will be necessary to define the geographic market in each case, which may encompass a large or small area, and in the latter case, it may also be considered as a substantial part of the internal market, potentially affecting intra-community trade if the geographic market is national or even subnational. Thus, in the Suiker Unie case (1975), the Court of Justice stated that “(...) to determine whether a certain territory has the necessary importance to be considered a substantial part of the Common Market (...) it is necessary to take into account the structure and volume of production and consumption of the relevant product, as well as the habits and economic possibilities of buyers and sellers”9.</w:t>
      </w:r>
    </w:p>
    <w:p>
      <w:r>
        <w:t>(125) The processing obtained from paper processing is normally manufactured in the country where it will be marketed, given that in addition to being a product with a very low price and margin, it is a product that does not withstand the impact of long-distance transportation costs well due to its low price and the high cost of transportation. Therefore, considering that the market affected by the paper processing cartel is national in scope, affecting the entire national territory, it will be susceptible to having a significant effect on intra-community trade, as it will compartmentalize the national market, creating potential competitive disadvantages for possible entrants into the Spanish paper processing market.</w:t>
      </w:r>
    </w:p>
    <w:p>
      <w:r>
        <w:t>4.3. SUPPLY</w:t>
      </w:r>
    </w:p>
    <w:p>
      <w:r>
        <w:t>(126) Regarding the volume and composition of the supply of this product at the national level, we would be facing a mature market of around 50-60 million euros.</w:t>
      </w:r>
    </w:p>
    <w:p>
      <w:r>
        <w:t>(127) The main operators present in the paper processing market in 2007 and their market shares in ranges of 10% according to the study conducted by the consulting firm MPA INTERNACIONAL would be as follows10:</w:t>
      </w:r>
    </w:p>
    <w:p>
      <w:r>
        <w:t>COMPANY %</w:t>
        <w:br/>
        <w:t>1. ENRI [20-30]%</w:t>
        <w:br/>
        <w:t>2. UNIPAPEL [20-30]%</w:t>
        <w:br/>
        <w:t>3. PACSA [10-20]%</w:t>
        <w:br/>
        <w:t>4. LIDERPAPEL [10-20]%</w:t>
        <w:br/>
        <w:t>5. ZORRILLA [5-15]%</w:t>
        <w:br/>
        <w:t>6. OTHERS [5-15]%</w:t>
      </w:r>
    </w:p>
    <w:p>
      <w:r>
        <w:t>Source: own elaboration based on data provided by UNIPAPEL</w:t>
      </w:r>
    </w:p>
    <w:p>
      <w:r>
        <w:t>(128) According to estimates from the study conducted by the aforementioned international consulting firm, within the concept of OTHERS, manufacturers such as AMBAR, MIQUELRIUS, or CLAIREFONTAINE, among others, would be included.</w:t>
      </w:r>
    </w:p>
    <w:p>
      <w:r>
        <w:t>(129) As deduced from the guidelines on vertical agreements, a mature market is a market that has existed for some time, in which the technology used is known, widespread, and has not undergone significant changes, in which no significant innovations occur in terms of brands and demand remains relatively stable or in</w:t>
      </w:r>
    </w:p>
    <w:p>
      <w:r>
        <w:rPr>
          <w:b/>
        </w:rPr>
        <w:t>[Pages 13–15]</w:t>
      </w:r>
    </w:p>
    <w:p>
      <w:r>
        <w:t>(11) In this sense, the market for paper processing products can be defined as a mature market since it uses a technology that is not complex and is known to all, has not experienced significant changes, and has seen a declining demand in recent years. Likewise, the paper processing market is a market with a long existence largely related to the use of paper as a fundamental working instrument in recent decades.</w:t>
      </w:r>
    </w:p>
    <w:p>
      <w:r>
        <w:t>(130) It is also a relatively transparent market with a reduced but stable number of manufacturers in terms of their numbers and market shares in recent years, with few and insignificant entries of new competitors.</w:t>
      </w:r>
    </w:p>
    <w:p>
      <w:r>
        <w:t>(131) Regarding the corporate structures of the cartel members, they are quite homogeneous in terms of demand, market shares, and product ranges.</w:t>
      </w:r>
    </w:p>
    <w:p>
      <w:r>
        <w:t>(132) Therefore, taking into account the volumes and market shares of the companies present in this market, it is a relatively transparent, concentrated, simple, and stable mature market with a wide coverage by the companies participating in the agreements analyzed in the file, within ranges between 60% and 80% of the market and therefore with significant market power.</w:t>
      </w:r>
    </w:p>
    <w:p>
      <w:r>
        <w:t>4.4. DEMAND</w:t>
      </w:r>
    </w:p>
    <w:p>
      <w:r>
        <w:t>(133) The demand for paper processing products comes from the different distribution channels to which the product is supplied. On one hand, the wholesale channel is formed by large wholesale distribution companies of office supplies and significant purchasing groups with high negotiating power based on the large volumes of purchases made or their grouping in purchasing centers. The negotiating power of wholesalers is important, also because these are homogeneous products with alternative suppliers in the market and with a low substitution cost for the purchasing companies of the processed products.</w:t>
      </w:r>
    </w:p>
    <w:p>
      <w:r>
        <w:t>(134) On the other hand, the retail channel consists of all those companies that sell the product directly to the end consumer, mainly composed of stationery stores and retail establishments selling office supplies. This retail channel has less negotiating power due to its lower purchase volumes, its fragmentation, and its higher substitution cost as it involves small and medium-sized enterprises.</w:t>
      </w:r>
    </w:p>
    <w:p>
      <w:r>
        <w:t>(135) Not all companies involved in the agreements focus their activity on the same distribution channels; thus, UNIPAPEL primarily focuses its activity on distribution to the retail channel, while the other companies primarily distribute to wholesalers.</w:t>
      </w:r>
    </w:p>
    <w:p>
      <w:r>
        <w:t>(136) The market for paper processing products in Spain is closely linked to the education sector, which means that the highest peaks in demand coincide with the dates known as "back to school" in August and September. It should also be noted that the increasing use of electronic processing in classrooms and homes is leading to a decrease in demand for this type of product.</w:t>
      </w:r>
    </w:p>
    <w:p>
      <w:r>
        <w:t>On the Established Facts</w:t>
      </w:r>
    </w:p>
    <w:p>
      <w:r>
        <w:t>The Council considers that the facts that are detailed below are the fundamental elements to substantiate the conduct regarding which its illegality must be resolved in this Resolution, reasoning its judgment throughout the legal grounds of this resolution based on these established facts.</w:t>
      </w:r>
    </w:p>
    <w:p>
      <w:r>
        <w:t>- Regarding the origin, maintenance, and duration of the cartel</w:t>
      </w:r>
    </w:p>
    <w:p>
      <w:r>
        <w:t>3. The existence of a cartel in the market for so-called paper processing, which includes notebooks, pads, sheets, refills, and related products, is first known through the statements of the applicant for exemption from sanction submitted on September 14, 2010, to the CNC, and secondly, through the statements of the applicant for reduction of sanction as contained in the PCH:</w:t>
      </w:r>
    </w:p>
    <w:p>
      <w:r>
        <w:t>(174) "The first signs of possible agreements in the paper processing market date back to the mid-1990s, as stated by UNIPAPEL in its application for exemption from the fine. This information has been corroborated by TOMPLA in its application for reduction of the fine amount, along with which it provided a summary of the meeting held at UNIPAPEL's headquarters by representatives of TOMPLA, UNIPAPEL, and HAMELIN (parent company of ENRI) related to the possible rapprochement between the aforementioned companies in the processing sector, among others.</w:t>
      </w:r>
    </w:p>
    <w:p>
      <w:r>
        <w:t>(175) The meetings were held throughout the 1990s and the 2000s, with the agreements continuing until 2010."</w:t>
      </w:r>
    </w:p>
    <w:p>
      <w:r>
        <w:t>4. Regarding the number, attendees, and content of the meetings in 1995, the applicant for exemption from sanction, TOMPLA, has submitted various minutes along with its self-incrimination statement, in which the attendees included the President of the HAMELIN Group representing ENRI and occasionally also the General Director of ENRI, senior executives of TOMPLA and PACSA, and senior executives of UNIPAPEL. These meetings were held (i) on June 20, 1995 (f 1851 et seq.), with the attendance of TOMPLA (President of the TOMPLA Group, CEO, and interpreter), HAMELIN (President of the HAMELIN Group owner of ENRI), and UNIPAPEL (President of the UNIPAPEL Group, CEO, and General Director) at UNIPAPEL's headquarters; (ii) on August 2, 1995 (f 2096 et seq.), with the attendance of TOMPLA (President of the TOMPLA Group, CEO, and interpreter), HAMELIN (President of the HAMELIN Group and General Director of ENRI), and UNIPAPEL (President of the UNIPAPEL Group and General Director) at C.I.L.'s headquarters; (iii) on August 28, 1995, referenced in other documents; and (iv) on September 27, 1995, (also appears in the agenda of the General Director of ENRI, collected during the inspection, noted on September 27 as "UNIPAPEL" TOMPLA) (f 2096 et seq.), with the attendance of TOMPLA (President of the TOMPLA Group, CEO, and Commercial Director with interpreter), HAMELIN (President of the HAMELIN Group and General Director of ENRI), and UNIPAPEL (President of the UNIPAPEL Group and General Director) at TOMPLA's headquarters. The PCH contains the following description of these meetings:</w:t>
      </w:r>
    </w:p>
    <w:p>
      <w:r>
        <w:t>(177) As indicated in the previous section, the first contacts held by the cartel companies to achieve the agreement in the paper processing sector in Spain took place in the mid-1990s. Specifically, and according to the information provided by TOMPLA to this DI in the context of its application for reduction of the fine amount, during the meeting held by representatives of HAMELIN (parent company of ENRI) with UNIPAPEL, S.A. and MANUFACTURAS TOMPLA, S.A. on June 20, 1995, at UNIPAPEL's headquarters, among which were the general directors of all of them, the foundations were laid that would allow for the definitive adoption of the agreement in the paper processing sector months later.</w:t>
      </w:r>
    </w:p>
    <w:p>
      <w:r>
        <w:t>(178) In the aforementioned meeting, as deduced from the summary of its content made by executives of MANUFACTURAS TOMPLA, S.A. who attended the meeting, the intention of those present to reach concrete agreements regarding the processing sector was raised, linked to the fact that the HAMELIN group, which had just entered the Spanish market through ENRI in 1993 and wanted to enter other sectors of interest for the other participants in the meeting, would not initiate an aggressive pricing campaign in the other sectors. From the summary of the meeting made by executives of MANUFACTURAS TOMPLA, S.A., the interest of all present in reaching agreements is deduced. In particular, the comment made by an executive of MANUFACTURAS TOMPLA, S.A. (folio 1956) stands out:</w:t>
      </w:r>
    </w:p>
    <w:p>
      <w:r>
        <w:t>“(...) We are interested in agreements between the three companies to start making money; we are open to that. To achieve this, we believe that each company should maintain the market share of 1994.”</w:t>
      </w:r>
    </w:p>
    <w:p>
      <w:r>
        <w:t>(179) Previously, another meeting had been held between the parties, in which negotiations for the implementation of the agreement were initiated, as deduced from what was indicated in the meeting by the President of the Hamelin group (folio 1956):</w:t>
      </w:r>
    </w:p>
    <w:p>
      <w:r>
        <w:t>“(...) TOMPLA has just entered processing. We are trying to reach an agreement. I made a proposal on 20-4. Now you propose another.”</w:t>
      </w:r>
    </w:p>
    <w:p>
      <w:r>
        <w:rPr>
          <w:b/>
        </w:rPr>
        <w:t>[Pages 16–18]</w:t>
      </w:r>
    </w:p>
    <w:p>
      <w:r>
        <w:t>knowing that it is unacceptable (“going back to the figures of '94”); this ends the meeting (…)”</w:t>
      </w:r>
    </w:p>
    <w:p>
      <w:r>
        <w:t>(180) The basis on which the content of the agreements would be established was expressed by an executive of UNIPAPEL, S.A. in the aforementioned meeting (folio 1957):</w:t>
      </w:r>
    </w:p>
    <w:p>
      <w:r>
        <w:t>“- There are two scenarios:</w:t>
        <w:br/>
        <w:t>1st.- A: Respect the status quo in the notebook with reasonable prices.</w:t>
        <w:br/>
        <w:t>B: We would not touch the French envelope market (we clarify that this implies maintaining the status quo of envelopes in France).</w:t>
        <w:br/>
        <w:t>2nd.- Not reaching an agreement in Spain, each one on their own, and reaching agreements with French firms, well established in France to market notebooks in that country.”</w:t>
      </w:r>
    </w:p>
    <w:p>
      <w:r>
        <w:t>(181) At the end of the meeting and according to the summary made by the executives of MANUFACTURAS TOMPLA, S.A., the agreement was not finalized among the attendees due to differences regarding the maintenance of the status quo and, specifically, regarding what the starting market shares of the companies should be for the market division. Nevertheless, the participants in the agreement moved closer together and accepted the proposal not to compete on prices in the processing market, as indicated in the meeting notes (folio 1959):</w:t>
      </w:r>
    </w:p>
    <w:p>
      <w:r>
        <w:t>“As long as this agreement is reached, there would be a price truce in the processing market (notebooks) in Spain.”</w:t>
      </w:r>
    </w:p>
    <w:p>
      <w:r>
        <w:t>(182) Although the agreement in the paper processing sector was ratified in a meeting held on September 27, 1995, attended by representatives of the HAMELIN group, ENRI, the UNIPAPEL group, and the TOMPLA group, during August 1995, they met at least twice (on August 2 and August 28, 1995) in order to finalize the alignment of positions regarding the starting point and reach a definitive agreement.</w:t>
      </w:r>
    </w:p>
    <w:p>
      <w:r>
        <w:t>(183) Thus, the summary of the content of the meeting made by executives of MANUFACTURAS TOMPLA, S.A. on August 2, 1995, reflects the discussions related to the market share to be considered as a reference for maintaining the status quo in the processing market in Spain among the HAMELIN group, the UNIPAPEL group, and the TOMPLA group, as evidenced by the comment made by one of the executives of MANUFACTURAS TOMPLA, S.A. present at the meeting (folio 2627):</w:t>
      </w:r>
    </w:p>
    <w:p>
      <w:r>
        <w:t>16 Agenda of the General Director of ENRI obtained during the inspection carried out at its headquarters on October 27, 2010 (folio 231).</w:t>
        <w:br/>
        <w:t>17 Written by TOMPLA dated March 29, 2011, in response to the request for clarifications from the DI regarding its request for a reduction in the amount of the fine (folio …).</w:t>
        <w:br/>
        <w:t>18 Annex 3 of the written by TOMPLA dated March 29, 2011, in response to the request for clarifications from the DI regarding its request for a reduction in the amount of the fine (folios …).</w:t>
      </w:r>
    </w:p>
    <w:p>
      <w:r>
        <w:t>“[executive of TOMPLA] focused the problem on the quantification of shares of both parties in recent years, not initially accepting HAMELIN's proposal that 1995 be considered as the starting year for the agreement, since it was easy to talk about agreements based on declines of 25% (data was offered), declines caused by the change of ownership situation; just as ENRI in '93 and '94, the decline was motivated by this change.”</w:t>
      </w:r>
    </w:p>
    <w:p>
      <w:r>
        <w:t>(184) In the aforementioned meeting, the attendees committed to complete the terms of the agreement in the next meeting to be held on September 27, 1995 (folio 2628). One of the executives of MANUFACTURAS TOMPLA, S.A. present at this meeting on August 2 even suggested, as reproduced below, how the aforementioned agreement would be structured in relation to the shares, price setting, or monitoring of the same (folio 2628):</w:t>
      </w:r>
    </w:p>
    <w:p>
      <w:r>
        <w:t>“a) Standardize the estimated sales figures in tons per company for 1993, 1994, and 1995 (each party must provide the exact figures, excluding reams).</w:t>
        <w:br/>
        <w:t>b) After knowing the previous data, determine the future volume or participation of each one (with a specific agreement on major clients).</w:t>
        <w:br/>
        <w:t>c) Define the costs of certain processed products (see attached list proposed by [executive of UNIPAPEL]).</w:t>
        <w:br/>
        <w:t>d) Define prices by channels.</w:t>
        <w:br/>
        <w:t>e) Set a date for meetings with the other colleagues to confirm the prices to be applied.</w:t>
        <w:br/>
        <w:t>f) Hold follow-up meetings and establish a control system.”</w:t>
      </w:r>
    </w:p>
    <w:p>
      <w:r>
        <w:t>(185) According to the information provided by TOMPLA, based on what was discussed in the meeting of August 2 and specified in another meeting held subsequently on August 28, the agreement in the paper processing sector among the three groups of companies was ratified during the meeting on September 27, 1995, attended by the president of the HAMELIN group, the general director of ENRI, and executives from the UNIPAPEL group and the TOMPLA group with the greatest decision-making power in them, so that ultimately the shares taken as a basis for subsequent years were those of 1995, although with some corrections, according to the table that accompanies the summary of the meeting and was prepared by an executive of UNIPAPEL, S.A. (folio 2624):</w:t>
      </w:r>
    </w:p>
    <w:p>
      <w:r>
        <w:t>Meeting Hamelin Uni-T 27-9-95</w:t>
        <w:br/>
        <w:t>U T E</w:t>
        <w:br/>
        <w:t>93 5,239 4,764</w:t>
        <w:br/>
        <w:t>94 5,124 4,579 4,000</w:t>
        <w:br/>
        <w:t>95 5,800 3,793 4,400</w:t>
        <w:br/>
        <w:t>96 5,471 4,122 4,400</w:t>
        <w:br/>
        <w:t>MARCHE ESPAGNOL 1995</w:t>
        <w:br/>
        <w:t>RESTO</w:t>
        <w:br/>
        <w:t>UNI 41.15 ENRI 31.45 TOMPLA 27.1%</w:t>
        <w:br/>
        <w:t>5800 4400 3793</w:t>
        <w:br/>
        <w:t>Source: UNIPAPEL</w:t>
      </w:r>
    </w:p>
    <w:p>
      <w:r>
        <w:t>(186) Although there are no minutes or summaries of the aforementioned meeting held on August 28, 1995, in the summary of the meeting on September 27, 1995, provided by TOMPLA, there are numerous references to what was discussed during it, in which specific agreements were reached on prices to be offered to clients. Thus, an executive of ENRI stated the following (folio 2621):</w:t>
      </w:r>
    </w:p>
    <w:p>
      <w:r>
        <w:t>“What was agreed on 28/8 is to give the price of 108 pesetas to regular clients and a much higher price to clients of other manufacturers.”</w:t>
      </w:r>
    </w:p>
    <w:p>
      <w:r>
        <w:t>(187) They not only discussed a price agreement among the attendees at the meeting on August 28, 1995, but also raised the possibility of including other companies in the agreements, as well as how to monitor what was agreed, which would be done by phone and through the holding of periodic meetings, as recalled by an executive of MANUFACTURAS TOMPLA, S.A. in the meeting on September 27, 1995 (folio 2621):</w:t>
      </w:r>
    </w:p>
    <w:p>
      <w:r>
        <w:t>“(...) This meeting on 28/8 was about moving towards an agreement to increase prices, getting the market used to these new prices and creating a climate of agreement among us, as well as with Zorrilla and Nogués. Whenever there is an agreement, there must be permanent telephone contact between the parties to discuss all the specific problems that arise; likewise, there must be periodic meetings to review the cases that arise, as well as to check compliance with the agreement.”</w:t>
      </w:r>
    </w:p>
    <w:p>
      <w:r>
        <w:t>5. According to TOMPLA's statement and the documents provided, there are records of other subsequent meetings, such as (i) on February 24, 1997, a meeting between the President of the TOMPLA group and the President of UNIPAPEL (folios 1872-1873), in which figures of the profit obtained with both companies and other information from the group were exchanged, as well as the loss of PRYCA by UNIPAPEL, for wanting to buy from a French company like HAMELIN and that they could recover it by lowering prices, which TOMPLA encouraged to avoid losing ground against HAMELIN; (ii) on December 2, 1999, between the Group.</w:t>
      </w:r>
    </w:p>
    <w:p>
      <w:r>
        <w:rPr>
          <w:b/>
        </w:rPr>
        <w:t>[Pages 19–21]</w:t>
      </w:r>
    </w:p>
    <w:p>
      <w:r>
        <w:t>TOMPLA and the HAMELIN Group (folio 1875-1877), in which the HAMELIN group warns that it will not allow the profits from envelopes in Spain to be used to force it to lower the price of notebooks in France, since UNIPAPEL would have taken Carrefour as a client in France by lowering prices; (iii) on October 18, 2000 (folio 1851 et seq.), after the ASSOMA meeting, TOMPLA and UNIPAPEL discuss the information about a large quantity of cheap notebooks that are going to enter Spain and what attitude to take, for which they suggest that the heads should talk, and that they should concentrate the manufacturing of notebooks by optimizing the plants to respond to this aggression; and (iv) on February 22, 2002, the CEO of TOMPLA met with the CEO of UNIPAPEL, and in addition to exchanging information about profits and other commercial variables, UNIPAPEL talks to him about its strategy against HELIO (HAMELIN), stating that for two years, without the need for intervention, the agreement is total and allows both to make money. In the PCH, it is noted, in reference to meetings after 1995, the following:</w:t>
      </w:r>
    </w:p>
    <w:p>
      <w:r>
        <w:t>(188) These meetings, referred to by the applicant for a reduction in the amount of the fine as "strategy meetings," continued to be held in the early years of the agreements (1995-2000). They were regularly attended by the executives with the highest level of representation in the companies holding representative positions in the parent companies of the groups, as duly reflected in the minutes and summaries of these meetings, which could not be provided by the applicant for clemency as they are not in their possession.</w:t>
      </w:r>
    </w:p>
    <w:p>
      <w:r>
        <w:t>(189) On the other hand, as indicated by the applicant for a reduction in the amount of the fine, the implementation and evolution of the agreements were detailed in what could be called "operational meetings," attended by executives from the companies that implemented the cartel (ENRI, UNIPAPEL, and PACSA) held from the inception of the cartel until at least 2010, the holding of which is evidenced not only by the evidence found regarding them, which is cited below, but also by the content of the agreements themselves.</w:t>
      </w:r>
    </w:p>
    <w:p>
      <w:r>
        <w:t>(210) "In January 2010, the companies held a meeting, after the meeting held at ASSOMA in which members of the cartel and an executive from ZORRILLA were present, in which, as deduced from the emails exchanged by the companies, PACSA, ENRI, and UNIPAPEL exchanged product catalogs, that is, the prices of their products, but did not notify ZORRILLA.</w:t>
      </w:r>
    </w:p>
    <w:p>
      <w:r>
        <w:t>(211) The last contact that the cartel members had, as indicated by the applicant for exemption from the payment of the fine, was on September 15, 2010, after a meeting held at ASSOMA, during a lunch attended by representatives of PACSA (General Director), UNIPAPEL (General Director of Distribution), and ENRI (General Director), in addition to the General Director of ZORRILLA. At the mentioned lunch, it was discussed that prices for processing should be raised, and for that purpose, they decided to meet again on October 6, a meeting that ultimately did not take place."</w:t>
      </w:r>
    </w:p>
    <w:p>
      <w:r>
        <w:t>6. The PCH describes how the cartel operated to carry out its strategy, as follows:</w:t>
      </w:r>
    </w:p>
    <w:p>
      <w:r>
        <w:t>- Regarding the operation of the cartel</w:t>
      </w:r>
    </w:p>
    <w:p>
      <w:r>
        <w:t>(166) "The cited companies maintained contacts among themselves throughout the years in which the cartel was active, starting in 1995 and ending in September 2010. Contacts between the companies participating in the agreements were primarily made by telephone, although at times they were conducted via email.</w:t>
      </w:r>
    </w:p>
    <w:p>
      <w:r>
        <w:t>(167) As indicated by the applicant for exemption from the payment of the fine, meetings were held with irregular frequency, with even a year passing between one meeting and the next. Generally, the parties met in the first and last quarters of the year or when unexpected increases in paper prices occurred.</w:t>
      </w:r>
    </w:p>
    <w:p>
      <w:r>
        <w:t>(168) The representatives of the cartel companies who attended these meetings were senior executives (General Directors or Commercial Directors) with knowledge of the fundamental aspects of their companies' corporate strategy and commercial policy, as well as sufficient powers to represent and bind their respective companies. During the early years of the cartel's existence, attendees at the meetings were high-level individuals from the parent companies of the group, the General Directors of MANIPULADOS TOMPLA, S.A. and UNIPAPEL S.A., as well as the president of the HAMELIN group. However, over time, the day-to-day operations of the cartel were left in the hands of executives from the subsidiary companies directly involved, such as the Commercial Director of PACSA (later General Director), the Commercial Director (later General Director) of UNIPAPEL TRANSFORMACIÓN Y DISTRIBUCIÓN, and the General Director of ENRI.</w:t>
      </w:r>
    </w:p>
    <w:p>
      <w:r>
        <w:t>(169) Thus, it is particularly significant that during the period of the cartel's existence, its meetings were held at the highest level of representation and that these representatives remained, almost entirely, unchanged, as reflected in Annex I of this document, which contains a table of the individuals who have held or currently hold positions in the companies involved in this sanctioning procedure and have participated in the practices under investigation throughout the entire period of the conduct's existence.</w:t>
      </w:r>
    </w:p>
    <w:p>
      <w:r>
        <w:t>(170) Furthermore, telephone contacts between the executives of the paper processing manufacturers that were members of the cartel were frequent, as indicated by both the applicant for exemption from the payment of the fine and the applicant for a reduction in the amount of the fine.</w:t>
      </w:r>
    </w:p>
    <w:p>
      <w:r>
        <w:t>(171) The convening of cartel meetings was usually done by phone and, at times, unofficially by representatives of ASSOMA, while at other times they were convened specifically by the paper processing manufacturers. The meetings took place at the Association's own headquarters, in nearby cafes or restaurants, or at the HISPAPEL headquarters.</w:t>
      </w:r>
    </w:p>
    <w:p>
      <w:r>
        <w:t>(172) Regarding the organizational structure of ASSOMA, there are three sections in the association related to the envelope, processing, and paper sector. In 2010, members of the processing section included at least UNIPAPEL, ENRI, and PACSA, in addition to ZORRILLA, as deduced from the information in the file.</w:t>
      </w:r>
    </w:p>
    <w:p>
      <w:r>
        <w:t>(173) Since the cartel meetings documented in this file do not coincide with those held by the governing bodies of ASSOMA and no representative of the latter's participation in the cartel meetings has been evidenced, this DI considers that ASSOMA did not participate in the cartel."</w:t>
      </w:r>
    </w:p>
    <w:p>
      <w:r>
        <w:t>- Regarding the allocation of customers.</w:t>
      </w:r>
    </w:p>
    <w:p>
      <w:r>
        <w:t>7. In the statements, it has been described that the agreement was based on respecting the large clients that each company had in 1995, when the market shares that each would maintain were set. The agreement included both the manufacturing and sale of private label products, as well as those of manufacturer brands. Regarding the manufacturing of private label products, it was common for the distributor to contract the manufacturing of the products with its brand to only one of the cartel companies, while regarding the manufacturer brand, distributors frequently acquired products from a second manufacturer included in the cartel. The statements of the two applicants for the application of the leniency program are corroborated by the responses given by the clients themselves (main distribution chains, purchasing centers, etc.) to the information request, the summary of which is shown in the following table:</w:t>
      </w:r>
    </w:p>
    <w:p>
      <w:r>
        <w:rPr>
          <w:b/>
        </w:rPr>
        <w:t>[Pages 22–24]</w:t>
      </w:r>
    </w:p>
    <w:p>
      <w:r>
        <w:t>ACCORDING TO THE DISTRIBUTOR7PURCHASING CENTER</w:t>
      </w:r>
    </w:p>
    <w:p>
      <w:r>
        <w:t>ACCORDING TO</w:t>
      </w:r>
    </w:p>
    <w:p>
      <w:r>
        <w:t>DISTRIBUTOR/PURCHASING CENTER UNIPAPEL ACCORDING TO</w:t>
      </w:r>
    </w:p>
    <w:p>
      <w:r>
        <w:t>PURCHASING CENTER TOMPLA 2011 IN</w:t>
      </w:r>
    </w:p>
    <w:p>
      <w:r>
        <w:t>(MD) UNTIL 2010 ONWARDS</w:t>
      </w:r>
    </w:p>
    <w:p>
      <w:r>
        <w:t>(New)</w:t>
      </w:r>
    </w:p>
    <w:p>
      <w:r>
        <w:t xml:space="preserve">Carrefour Enri UNIPAPEL Enri (MDyMF) and UNIPAPEL (MF) -  </w:t>
        <w:br/>
        <w:t xml:space="preserve">Hipercor UNIPAPEL - - -  </w:t>
        <w:br/>
        <w:t xml:space="preserve">Alcampo Enri/UNIPAPEL UNIPAPEL Enri (MDyMF) and UNIPAPEL (MD and Pacsa MF)  </w:t>
        <w:br/>
        <w:t xml:space="preserve">Makro UNIPAPEL UNIPAPEL Enri UNIPAPEL (MD and MF)  </w:t>
        <w:br/>
        <w:t xml:space="preserve">Eroski Pacsa/Enri Pacsa UNIPAPEL PACSA (MD) and the 3 in MF  </w:t>
        <w:br/>
        <w:t xml:space="preserve">Novax Pacsa/Enri Pacsa - Pacsa(MD)  </w:t>
        <w:br/>
        <w:t xml:space="preserve">Disnak Pacsa - - Pacsa(MD)  </w:t>
        <w:br/>
        <w:t xml:space="preserve">Antalis Pacsa Pacsa - Pacsa(MD and MF) and UNIPAPEL 2008  </w:t>
        <w:br/>
        <w:t xml:space="preserve">Makro Paper Enri Enri - -  </w:t>
        <w:br/>
        <w:t xml:space="preserve">Pentalis Enri Enri - Enri (MD and MF)  </w:t>
        <w:br/>
        <w:t xml:space="preserve">Spicers - Pacsa UNIPAPEL Pacsa (MD and MF) and Enri (MF)  </w:t>
        <w:br/>
        <w:t xml:space="preserve">Lyreco - - UNIPAPEL -  </w:t>
        <w:br/>
        <w:t xml:space="preserve">Folder Papeleras - Pacsa UNIPAPEL Pacsa  </w:t>
        <w:br/>
        <w:t xml:space="preserve">Carlin - UNIPAPEL Pacsa UNIPAPEL and Enri  </w:t>
        <w:br/>
        <w:t xml:space="preserve">New paper - Enri - Enri  </w:t>
        <w:br/>
        <w:t xml:space="preserve">Hispanica Mayor - Enri - Enri  </w:t>
        <w:br/>
        <w:t xml:space="preserve">Fulvio Navarro - Enri Pacsa Enri  </w:t>
        <w:br/>
        <w:t>Distrisantiago - Pacsa Enri Pacsa</w:t>
      </w:r>
    </w:p>
    <w:p>
      <w:r>
        <w:t>Source: File</w:t>
      </w:r>
    </w:p>
    <w:p>
      <w:r>
        <w:t>This detailed information is contained in the PCH as follows:</w:t>
      </w:r>
    </w:p>
    <w:p>
      <w:r>
        <w:t>(157) The operation of the customer allocation agreement according to the information provided by UNIPAPEL in its request for exemption from the fine, corroborated by the documentation collected during the inspections carried out by the DI, as well as by TOMPLA in its request for a reduction in the amount of the fine, began with the establishment of starting market shares for each of the cartel member companies, although it has not been proven throughout the investigation of the file that these shares were maintained over time or that new ones were established.</w:t>
      </w:r>
    </w:p>
    <w:p>
      <w:r>
        <w:t>(158) It has been proven that over time, the cartel members ENRI, PACSA, and UNIPAPEL maintained an agreement to respect the regular customers of each of them, regarding all processed products in general and the distributor's private label products in particular, which represent the most relevant part of the supply for these companies. By virtue of this tacit customer allocation agreement, in which there was no written list of assigned customers, but there was knowledge of the identity of the customers covered by this agreement, bilateral negotiations took place between some of the cartel members, which in specific cases involved the allocation of sales to customers with particularly significant sales volumes.</w:t>
      </w:r>
    </w:p>
    <w:p>
      <w:r>
        <w:t>(159) According to the request for exemption from the fine submitted by UNIPAPEL, the tacit customer allocation agreement by the cartel companies, ENRI, PACSA, and UNIPAPEL regarding the manufacturing of the distributor's private label processed products, consisted of each cartel member respecting the following business relationships with some of these traditional customers:</w:t>
      </w:r>
    </w:p>
    <w:p>
      <w:r>
        <w:t xml:space="preserve">CLIENT SUPPLIER  </w:t>
        <w:br/>
        <w:t xml:space="preserve">CARREFOUR Enri  </w:t>
        <w:br/>
        <w:t xml:space="preserve">HIPERCOR UNIPAPEL  </w:t>
        <w:br/>
        <w:t xml:space="preserve">ALCAMPO Enri-UNIPAPEL  </w:t>
        <w:br/>
        <w:t xml:space="preserve">MAKRO UNIPAPEL  </w:t>
        <w:br/>
        <w:t xml:space="preserve">EROSKI Pacsa-Enri  </w:t>
        <w:br/>
        <w:t xml:space="preserve">NOVAX Pacsa-Enri  </w:t>
        <w:br/>
        <w:t xml:space="preserve">DISNAK Formerly Pacsa  </w:t>
        <w:br/>
        <w:t xml:space="preserve">ANTALIS Pacsa  </w:t>
        <w:br/>
        <w:t xml:space="preserve">MAKROPAPER Formerly Enri  </w:t>
        <w:br/>
        <w:t>PENTADIS Enri</w:t>
      </w:r>
    </w:p>
    <w:p>
      <w:r>
        <w:t>Source: UNIPAPEL</w:t>
      </w:r>
    </w:p>
    <w:p>
      <w:r>
        <w:t>(160) TOMPLA in its request for a reduction in the amount of the fine confirmed the existence of customer allocation regarding all processed products in general and the distributor's private label products in particular, which, as indicated, represent the most relevant part of the supply, listing the processed product customers that were tacitly allocated among the cartel members, ENRI, PACSA, and UNIPAPEL, indicating to this DI that the customers that had been allocated among the cartel members were the following:</w:t>
      </w:r>
    </w:p>
    <w:p>
      <w:r>
        <w:t xml:space="preserve">• PACSA: Grupo Praxton-Novax, Eroski (private label), Dolmen (Madrid), Distrisantiago (La Coruña), Elkar Banaketa (Guipúzcoa), Distribuidora Malagueña (Málaga), ACP (Madrid), Anaya (Madrid), Montte (Guipúzcoa), Busquets Gruart (Barcelona), Antalis (Madrid), Navarro Arjona (Barcelona), Fólder (franchised group), Spicers.  </w:t>
        <w:br/>
        <w:t xml:space="preserve">• UNIPAPEL: Guerrero Cerezo (Murcia), Carlin (franchised), Pryca/Carrefour/Continente, Alcampo, Makro Autoservicio, Grupo ACCS.  </w:t>
        <w:br/>
        <w:t>• ENRI: Grupo New Paper, Grupo Agrupaper, Al-andalus (Sevilla), Grupo Makro-Paper, Grupo Pentadis, Grupo Catal 4, Fulvio Navarro (Castellón), Almacenes Generalife (Granada), Hispánica de Papelería (Barcelona), Asuyma (Murcia), Almacenes Castillo (Alicante).</w:t>
      </w:r>
    </w:p>
    <w:p>
      <w:r>
        <w:t>(161) According to the request for exemption from the fine submitted by UNIPAPEL, confirmed by the statement of the General Director of PACSA in his request for a reduction in the amount of the fine, the allocation of this type of customers implied that when one of them requested offers for the manufacturing of private label products from one of the cartel member companies, that company would contact the other cartel members so that the company entitled to the contract under the agreement would be awarded the contract.</w:t>
      </w:r>
    </w:p>
    <w:p>
      <w:r>
        <w:t>(…)</w:t>
      </w:r>
    </w:p>
    <w:p>
      <w:r>
        <w:t>(164) According to what the General Director of PACSA indicated in the context of the request for a reduction of the fine submitted by TOMPLA, as a consequence of the tacit customer allocation agreement, two situations could arise: total respect for the customer by the other cartel members, so that the company assigned a particular customer indicated the price at which the competitor with whom the negotiation took place should offer. Or a percentage allocation of sales to the customer applying different prices for different processed products, whereby several cartel members would have a percentage share of purchases from a particular customer, usually with a significant purchase volume.</w:t>
      </w:r>
    </w:p>
    <w:p>
      <w:r>
        <w:t>(165) In this regard, in the hypermarket channel, where there is a high consumption of processed products, the cartel members, UNIPAPEL, ENRI, and PACSA, allocated the main customers of this hypermarket channel. According to the information provided by</w:t>
      </w:r>
    </w:p>
    <w:p>
      <w:r>
        <w:rPr>
          <w:b/>
        </w:rPr>
        <w:t>[Pages 25–27]</w:t>
      </w:r>
    </w:p>
    <w:p>
      <w:r>
        <w:t>UNIPAPEL in its request for exemption from the payment of the fine, had assigned three major hypermarket chains for the manufacturing of private label manipulated products, HIPERCOR, MAKRO, and part of ALCAMPO. ENRI was assigned to CARREFOUR (resulting from the merger of CONTINENTE and PRYCA) and part of ALCAMPO. Meanwhile, PACSA was assigned the supply of notebooks for the EROSKI private label37.</w:t>
      </w:r>
    </w:p>
    <w:p>
      <w:r>
        <w:t>(212) On the other hand, the customer allocation agreement among the cartel members ENRI, PACSA, and UNIPAPEL through respect for each of their traditional customers is also evidenced by the analysis of the information provided by the main hypermarkets and distribution companies regarding the manufacturing and supply of the manufacturer's branded products in general, and the distributor's branded manipulated products in particular. Likewise, from the information provided by these distribution companies and hypermarkets, the main clients of the cartel members, the stability during the duration of the cartel of the commercial relationships of the cartel companies with each of their clients regarding the manufacturing and distribution of the distributor's branded manipulated products as well as in the distribution of the manufacturer's branded manipulated products (ENRI, PACSA, and UNIPAPEL) is confirmed.</w:t>
      </w:r>
    </w:p>
    <w:p>
      <w:r>
        <w:t>(213) Regarding the stability in the commercial relationships of the cartel members with their traditional clients, it is significant that starting in 2011, numerous clients from the hypermarket channel, purchasing centers, or distribution companies began to have commercial relationships for the first time or in much greater numbers with manufacturers different from those "assigned" by the cartel until 2010. In this sense, MAKRO AUTOSERVICIO MAYORISTA, S.A.38 substantially increased the distribution of ENRI branded products starting in 2011, ALCAMPO, S.A.39 began to have commercial relationships with PACSA in 2011 for the first time. Likewise, FOLDER PAPELERÍAS, S.A.40 began to distribute only UNIPAPEL branded manipulated products for the first time in 2011, while SPICERS ESPAÑA, S.L.41 from October 2010 contracted the manufacturing of manipulated products with its distributor brand with UNIPAPEL. Similarly, CARLIN VENTAS DIRECTAS, S.A.42 and FULVIO NAVARRO E HIJOS, S.L.43 began to distribute PACSA branded manipulated products for the first time in 2011, unlike what they had been doing previously.</w:t>
      </w:r>
    </w:p>
    <w:p>
      <w:r>
        <w:t>(214) Regarding the information provided by the large hypermarket chains, CARREFOUR in response to the DI's request for information, confirmed that the manipulated products with its CARREFOUR brand were manufactured by ENRI, while this company also distributed ENRI and UNIPAPEL branded notebooks, but not PACSA branded products44.</w:t>
      </w:r>
    </w:p>
    <w:p>
      <w:r>
        <w:t>(215) MAKRO AUTOSERVICIO MAYORISTA, S.A. in its response to the DI's request for information, indicated that the manufacturing of its distributor brand manipulated products until 2010 was carried out by UNIPAPEL, while MAKRO's notepads since 2006 were manufactured by another company unrelated to the cartel members. Regarding the manufacturer's branded manipulated products until 2011, MAKRO mainly distributed, at least from 2005 to 2010, UNIPAPEL branded manipulated products, while in 2007 it also distributed some references of ENRI branded manipulated paper. According to the information provided by MAKRO, starting in 2011, the ENRI branded products distributed by this company increased significantly45.</w:t>
      </w:r>
    </w:p>
    <w:p>
      <w:r>
        <w:t>(216) ALCAMPO in its response to the DI's request for information, confirmed the manufacturing of its distributor brand manipulated products by ENRI and UNIPAPEL, as well as the distribution by this hypermarket of the manufacturer's branded manipulated products from these two companies, indicating the existence of commercial relationships with these companies from 2002 to the present, as well as with PACSA only from 201146.</w:t>
      </w:r>
    </w:p>
    <w:p>
      <w:r>
        <w:t>(217) According to the information provided by GRUPO EROSKI DISTRIBUCIÓN, S.A. in its response to the DI's request for information, it is confirmed that the EROSKI branded manipulated products were manufactured by PACSA. Regarding the manufacturer's branded manipulated products, GRUPO EROSKI DISTRIBUCIÓN, S.A. distributed at least until 2010, manipulated products branded ENRI, PACSA, and a few references of UNIPAPEL branded manipulated products. While starting in 2011, it continued to distribute PACSA branded products, increased the distribution of UNIPAPEL branded manipulated products, and limited the distribution of a few references of ENRI branded products47.</w:t>
      </w:r>
    </w:p>
    <w:p>
      <w:r>
        <w:t>(218) Regarding customers belonging to other distribution channels different from large hypermarkets such as Purchasing Centers and distribution companies, LYRECO ESPAÑA, S.A., the company resulting from the merger by absorption on November 2 with ANTALIS OFFICE SUPPLIES, S.L., which was extinguished from that moment, responded in its reply to the DI's request for information, providing information related to the defunct ANTALIS OFFICE SUPPLIES, S.L. and LYRECO ESPAÑA, S.A. Regarding the former, the manufacturing of the distributor's branded manipulated products was carried out by PACSA, as indicated by UNIPAPEL in its request for exemption from the payment of the fine. While it mainly distributed PACSA branded manipulated products from 2002 to 2008, some references of UNIPAPEL between 2002 and 2008, and from that year onwards exclusively distributed manipulated products from that manufacturer, UNIPAPEL. Regarding ENRI branded manipulated products, ANTALIS also distributed some loose manipulated paper products from this manufacturer between 2005 and 2011, and with a greater volume between 2002 and 200448.</w:t>
      </w:r>
    </w:p>
    <w:p>
      <w:r>
        <w:t>(219) Regarding LYRECO ESPAÑA, S.A., most of the manufacturing of private label manipulated products between 2002 and 2011 was carried out by UNIPAPEL49.</w:t>
      </w:r>
    </w:p>
    <w:p>
      <w:r>
        <w:t>(220) GRUPO PAPELERO NOVAX, S.L. in response to the DI's request for information, indicated that the manufacturing of the manipulated products with its distributor brand was carried out by PACSA, as well as by another company unrelated to the cartel, MANIPULADOS ZORRILLA. Regarding the distribution of the manufacturer's branded manipulated products, it distributed the manipulated products of the previous manufacturers, PACSA and MANIPULADOS ZORRILLA50.</w:t>
      </w:r>
    </w:p>
    <w:p>
      <w:r>
        <w:t>(221) Regarding the AGRUPACIÓN DE SUMINISTRADORES DE OFICINA DISNAK, A.I.E., in its response to the DI's request for information, they indicated that only PACSA manufactured the manipulated paper products with its distributor brand in 200551.</w:t>
      </w:r>
    </w:p>
    <w:p>
      <w:r>
        <w:rPr>
          <w:b/>
        </w:rPr>
        <w:t>[Pages 28–30]</w:t>
      </w:r>
    </w:p>
    <w:p>
      <w:r>
        <w:t>(222) FOLDER PAPELERÍAS, S.A. in its response to the DI's request for information indicated that the manufacturing of the distributor's branded manipulated products was carried out by PACSA until 2010, while in 2010 partially and in 2011 exclusively, UNIPAPEL was the manufacturing company of the FOLDER branded manipulated products. Regarding the distribution of the manufacturer's branded notebooks, FOLDER distributed only PACSA branded manipulated products between 2007 and 2010, while starting in 2011, it distributed products of the UNIPAPEL brand53.</w:t>
      </w:r>
    </w:p>
    <w:p>
      <w:r>
        <w:t>(223) In its response to the DI's request for information, the GRUPO DISTRIBUIDOR DE PAPELERÍA PENTADIS, S.L. stated that the manufacturing of the PENTADIS branded manipulated products was carried out by ENRI and another company outside the cartel, THE PAPER &amp; OFFICE EQUIPMENT SPAIN ASS, S.A. On the other hand, this group exclusively distributed manipulated products of the ENRI brand54.</w:t>
      </w:r>
    </w:p>
    <w:p>
      <w:r>
        <w:t>(224) SPICERS ESPAÑA, S.L. in its response to the DI's request for information indicated that the manufacturing of the manipulated products with its distributor brand (brand 5*) was carried out at least from 2006 until October 2010 by PACSA. After that date, the manufacturing of SPICERS branded manipulated products was carried out by UNIPAPEL, unlike what had occurred since 2006. Regarding the manufacturer's branded manipulated products, SPICERS only distributed products of the ENRI and PACSA brands at least from 2006 to the present55.</w:t>
      </w:r>
    </w:p>
    <w:p>
      <w:r>
        <w:t>(225) In its response to the DI's request for information, CARLIN VENTAS DIRECTAS, S.A. indicated that it did not manufacture manipulated products with its distributor brand. Notwithstanding the above, from 2002 to 2010 it only distributed manipulated products with the ENRI and UNIPAPEL manufacturer brands. Starting in 2011, this company distributed for the first time manipulated products of the PACSA brand56.</w:t>
      </w:r>
    </w:p>
    <w:p>
      <w:r>
        <w:t>(226) The GRUPO DISTRIBUIDOR DE PAPELERÍA NEW PAPER, S.L. in its response to the DI's request for information indicated that the distributor's branded manipulated products were not manufactured by any of the cartel members. Notwithstanding the above, and at least in the years 2010 to 2011, it only distributed manipulated products of the ENRI brand57.</w:t>
      </w:r>
    </w:p>
    <w:p>
      <w:r>
        <w:t>(227) HISPÁNICA MAYOR DE PAPELERÍA, S.A. indicated in its response to the DI's request for information that it has never requested offers for the manufacturing of manipulated products with the distributor brand. Regarding the distribution of the manufacturer's branded notebooks, it indicated that they mainly distribute manipulated products of the ENRI brand and a few references of the UNIPAPEL brand58.</w:t>
      </w:r>
    </w:p>
    <w:p>
      <w:r>
        <w:t>(228) FULVIO NAVARRO E HIJOS, S.L. in its response to the DI's request for information indicated the absence of manufacturing of manipulated products of the distributor brand. It also indicated that at least between 2008 and 2010 it exclusively distributed manipulated products of the ENRI brand. In 2011, it began to distribute for the first time manipulated products of the PACSA brand, along with the ENRI products it had been distributing until that moment59.</w:t>
      </w:r>
    </w:p>
    <w:p>
      <w:r>
        <w:t>(229) DISTRISANTIAGO PAPELERÍA, S.L. in its response to the DI's request for information indicated that the manufacturing of the manipulated products with its distributor brand at least until 2009 was carried out by PACSA. After that date and as a result of a commercial disagreement in another market for a product different from manipulated products, the manufacturing of the distributor's branded manipulated products was carried out by UNIPAPEL. Regarding the distribution of the manufacturer's branded manipulated products, this stationery distributor has indicated that until 2009, it distributed, with the exception of a series of references from ENRI, manipulated products of the PACSA brand. Starting in 2010, after the commercial disagreement with PACSA and following the corporate restructuring of the GRUPO HAMELIN, ENRI became its main supplier of manipulated products because, among other things, since that year 2010 it offered better conditions than any other manipulated product manufacturer.</w:t>
      </w:r>
    </w:p>
    <w:p>
      <w:r>
        <w:t>(230) In conclusion, the companies ENRI, PACSA, and UNIPAPEL, and their parent companies maintained agreements to set minimum prices for certain manipulated products, the conditions of their distribution, and the percentage increases of the same, in addition to the market division of traditional clients, from 1995 until September 2010, when they held the last meeting related to this cartel.”</w:t>
      </w:r>
    </w:p>
    <w:p>
      <w:r>
        <w:t>- Regarding the price agreements and the information exchanged</w:t>
      </w:r>
    </w:p>
    <w:p>
      <w:r>
        <w:t>8. Regarding prices, after a certain level of minimum prices was set for a group of products, these were updated for each year, and the increase applied to them served as a reference for the price increase of the remaining products. The description contained in the PCH of these facts, according to the statements of the applicants for leniency, the documents submitted along with them, the emails found at the companies' premises during inspections, and the responses to the requests for information, is as follows:</w:t>
      </w:r>
    </w:p>
    <w:p>
      <w:r>
        <w:t>(148) According to the information in the file, ENRI, PACSA, and UNIPAPEL agreed on the minimum prices for the following manipulated paper products intended for wholesale clients60:</w:t>
        <w:br/>
        <w:t>- Softcover notebooks</w:t>
        <w:br/>
        <w:t>- Hardcover notebooks, including those with laminated covers</w:t>
        <w:br/>
        <w:t>- Extra hard cover notebooks, including those with lined covers</w:t>
        <w:br/>
        <w:t>- Blue cover notebooks</w:t>
        <w:br/>
        <w:t>- Refills</w:t>
        <w:br/>
        <w:t>- Ream products</w:t>
        <w:br/>
        <w:t>- Notepads with covers</w:t>
        <w:br/>
        <w:t>- Notepads without covers</w:t>
      </w:r>
    </w:p>
    <w:p>
      <w:r>
        <w:t>(149) On those minimum prices agreed upon since 1995, UNIPAPEL usually applied higher prices, as its business was more focused on retail clients, while PACSA and ENRI applied lower prices than those of UNIPAPEL, as their business was more directed towards wholesale clients.</w:t>
      </w:r>
    </w:p>
    <w:p>
      <w:r>
        <w:t>(150) The price fluctuations from year to year were marked percentage-wise concerning the minimum prices set in previous campaigns. On one hand, the minimum prices for wholesalers were set, which were primarily sold by PACSA and ENRI, and on the other hand, the prices for retailers were set, which were primarily sold by UNIPAPEL and were about 20-25% more expensive.</w:t>
      </w:r>
    </w:p>
    <w:p>
      <w:r>
        <w:t>(151) “In relation to the setting of minimum prices, tables were prepared for their monitoring and control. In this regard, the applicant for exemption from the fine has provided a table that records the minimum prices agreed upon for a series of product categories and references from 2002 to 2008, part of which is reproduced below61. This table, according to the applicant for exemption from the fine, was prepared by an executive of the company for its daily operation and internal control of the cartel, including the minimum prices agreed upon with the other cartel members that had been updated year by year62. In January 2008,</w:t>
      </w:r>
    </w:p>
    <w:p>
      <w:r>
        <w:rPr>
          <w:b/>
        </w:rPr>
        <w:t>[Pages 31–33]</w:t>
      </w:r>
    </w:p>
    <w:p>
      <w:r>
        <w:t xml:space="preserve">when the executive left the company, it was updated by the Head of the Manipulated Product. For the preparation of this table, the notes of the General Director of Distribution of UNIPAPEL were taken as a reference, which the company has indicated contain the minimum prices set with the other cartel members63:  </w:t>
        <w:br/>
        <w:t xml:space="preserve">“MANIPULATED Jan-08  </w:t>
        <w:br/>
        <w:t xml:space="preserve">SOFT COVER 01  </w:t>
        <w:br/>
        <w:t xml:space="preserve">Size Sheets Grs/M2 Notes Oct-02 Nov-03 Oct-04 Jan-05 Jan-06 Feb-07 07/06 Oct-07E Oct-07P Jan-08 08/07  </w:t>
        <w:br/>
        <w:t xml:space="preserve">Fº 80 60 540 521 499 519 446 494 10.8% 515 529 545 10%  </w:t>
        <w:br/>
        <w:t xml:space="preserve">4º 80 60 300 298 281 292 255 279 9.4% 295 298 307 10%  </w:t>
        <w:br/>
        <w:t xml:space="preserve">4º 40 60 300 210 218 222 233 233 240 8%  </w:t>
        <w:br/>
        <w:t xml:space="preserve">8º 80 60 204 212 221 222 227 227 244 10%  </w:t>
        <w:br/>
        <w:t xml:space="preserve">12º 80 60 162 168 174 176 181 181 195 11%  </w:t>
        <w:br/>
        <w:t xml:space="preserve">16º 80 60 138 143 149 153 155 155 171 12%  </w:t>
        <w:br/>
        <w:t xml:space="preserve">A4 160 60 Micro 680 707 674 541 694 3%”  </w:t>
        <w:br/>
        <w:t xml:space="preserve">Source: UNIPAPEL.  </w:t>
        <w:br/>
        <w:t xml:space="preserve">(152) The table included a list of notebook types by size (folio, quarter, eighth, twelfth, sixteenth, or A4), the number of sheets in each notebook, the weight, and the prices at the time the agreements were made with the rest of the competition (October 2002, November 2003, October 2004, January 2005, January 2006, February 2007, October 2007 (with differences between ENRI and PACSA), the column of % difference 2007/2006, January 2008, and the column difference between 2008/2007. All these columns for each type of notebook (soft cover, hard cover03, extra hard cover 04, PP cover, blue cover02), refills, reams, and notepads without and with covers of their different sizes.  </w:t>
        <w:br/>
        <w:t xml:space="preserve">(153) On the other hand, as deduced from what has been indicated by the applicant for exemption from the fine and from the table itself, various commercial conditions regarding discounts and price increases to be applied depending on the type of customer and contracted volume were agreed upon among the cartel members, according to the content of the table reproduced below (folio 167), conditions that remained unchanged at least between 2002 and 200864:  </w:t>
        <w:br/>
        <w:t xml:space="preserve">Prices per 1,000 units  </w:t>
        <w:br/>
        <w:t xml:space="preserve">Maximum discount full truck: +3% -Stationery: +23%  </w:t>
        <w:br/>
        <w:t xml:space="preserve">Maximum discount large groups: -5% additional -Hyper Private Label: +15%  </w:t>
        <w:br/>
        <w:t xml:space="preserve">-Supplier: +8% -Hyper Series: +20/25%  </w:t>
        <w:br/>
        <w:t xml:space="preserve">63 Notes from the General Director of Distribution of UNIPAPEL, provided along with its request for exemption from the fine. (folios …).  </w:t>
        <w:br/>
        <w:t xml:space="preserve">64 Annex 1 of the document dated October 22, 2010, from UNIPAPEL in the context of its request for exemption from the fine (folio …); handwritten notes contained in a document collected in the office of the Commercial Director of PACSA during the inspection carried out at its headquarters on March 30, 2011 (folio 1163).  </w:t>
        <w:br/>
        <w:t xml:space="preserve">(154) It should be noted that the products of each company are not exactly coincident in their naming. However, there are products with similar characteristics in each of the companies. It has been observed and indicated by both the applicant for exemption from the fine and the applicant for a reduction in the amount of the fine that price agreements were made for the most common products.  </w:t>
        <w:br/>
        <w:t xml:space="preserve">(155) As can be seen in the table and as confirmed by TOMPLA in its request for reduction of the fine65, minimum prices were negotiated at two times of the year, usually between November and February to set the rates for the "back to school" (VAC) campaign, products that were delivered between June and August and again in June, with a view to replenishing products that were usually charged at a slightly higher price.  </w:t>
        <w:br/>
        <w:t xml:space="preserve">(156) The agreed minimum price referred to at least the purchase of one thousand units. The maximum discounts to be applied when it was a full truck would be 3%. For large groups, an additional discount of 5% would apply, and to the supplier, 8%. In the case of UNIPAPEL, which distributed to retailers, it would apply a 23% surcharge on these prices to the stationery stores. If it was prices to the PRIVATE LABEL HYPERMARKETS, the increase would be 16% and for series products between 20/25%.  </w:t>
        <w:br/>
        <w:t xml:space="preserve">(…)  </w:t>
        <w:br/>
        <w:t xml:space="preserve">(191) “In relation to the price agreements, as indicated in the section regarding the organization and functioning of the cartel, there is evidence in the file that the company UNIPAPEL prepared a table with the minimum prices of manipulated paper products, for the years 2002 to 2008 agreed upon by the participants in the agreements, which included not only the minimum prices of the products but also certain marketing conditions for them.  </w:t>
        <w:br/>
        <w:t xml:space="preserve">(192) Part of the information contained in this table was also found among the documentation collected in the office of the Commercial Director of PACSA during the inspection carried out at the company's headquarters (folios 1163 to 1167), where handwritten notes related to the rates and conditions for the marketing of manipulated products agreed for the year 2007 were found, made on the documentation that records the rates applied by the company in October 2006 and that coincide with those included in the table, provided by the applicant for exemption from the fine. These notes refer to the products marketed by PACSA that coincide with some of those marketed by UNIPAPEL. As an example, several of the notes are cited:  </w:t>
        <w:br/>
        <w:t xml:space="preserve">- PACSA series spiral notebook size folio 80 sheets 494 which coincides with the 494 of the soft cover notebook of UNIPAPEL (Feb-07) of the same characteristics  </w:t>
        <w:br/>
        <w:t xml:space="preserve">65 Statements from TOMPLA in the context of its request for reduction of the fine (folios …).  </w:t>
        <w:br/>
        <w:t xml:space="preserve">(193) The notes in the document collected at PACSA analyzed in the previous point not only included the agreed rates for February 2007 but also the special conditions related to discounts and increases to be applied according to the type of customer and marketed volume reproduced in the table provided by the applicant for clemency that are reproduced below:  </w:t>
        <w:br/>
        <w:t xml:space="preserve">“Retail +20% ENRI +25% UNIPAPEL”.  </w:t>
        <w:br/>
        <w:t xml:space="preserve">(194) “Although the applicant for exemption from the fine has indicated that communications between the companies for the distribution of Large Clients occurred in most cases by phone, there are handwritten notes in the file that evidence the necessary exchange of information between the companies for the maintenance of the Large Clients distribution agreement.  </w:t>
        <w:br/>
        <w:t xml:space="preserve">(195) This fact is evidenced in several documents collected during the inspection carried out at the headquarters of PACSA, in which handwritten notes with the prices of competitors for some clients and with indications related to the exchange of information regarding prices with these competitors are recorded.  </w:t>
        <w:br/>
        <w:t xml:space="preserve">(196) This occurs in the document titled “MANIPULATED RATE 2006”66 prepared by an employee of PACSA for the then Commercial Director in which, in addition to indicating PACSA's prices for the year 2006 for a series of products and references, there are handwritten notes regarding the prices for the year 2007 for a series of products, not  </w:t>
        <w:br/>
        <w:t>66 Document collected during the inspection carried out at the headquarters of PACSA on March 30, 2011 (folios 1151 to 1156).</w:t>
      </w:r>
    </w:p>
    <w:p>
      <w:r>
        <w:rPr>
          <w:b/>
        </w:rPr>
        <w:t>[Pages 34–36]</w:t>
      </w:r>
    </w:p>
    <w:p>
      <w:r>
        <w:t>the prices of PACSA for the year 2006 for a series of products and references, there are handwritten notes related to the prices for the year 2007 for a series of products, not only from PACSA but also from ENRI, for the clients NOVAX and DISNAK.</w:t>
      </w:r>
    </w:p>
    <w:p>
      <w:r>
        <w:t xml:space="preserve">(197) Furthermore, at the end of that document, there are handwritten notes related to the prices of PACSA and ENRI noted throughout the document, which once again evidence the exchange of information between competitors with the aim of dividing customers in the paper processing market (folio 1155): </w:t>
        <w:br/>
        <w:t xml:space="preserve">“- In red prices said to E for NOVAX Total Net. </w:t>
        <w:br/>
        <w:t xml:space="preserve">MICROS Real Price of PACSA to NOVAX 2007 </w:t>
        <w:br/>
        <w:t>-5% informed to E.”</w:t>
      </w:r>
    </w:p>
    <w:p>
      <w:r>
        <w:t xml:space="preserve">(198) Transferring the 2007 prices of PACSA for NOVAX that had been handwritten in the previous document, the file contains the document “SPECIAL TARIFF PAPER PROCESSING GROUP NOVAX FEBRUARY 2007” in which, in addition to the prices offered by PACSA to its client NOVAX, the following is handwritten by an employee of PACSA: </w:t>
        <w:br/>
        <w:t>“Price Novax said to E that PACSA has given.”</w:t>
      </w:r>
    </w:p>
    <w:p>
      <w:r>
        <w:t xml:space="preserve">(199) The agreed figures in 2007 were also sent by an executive of PACSA to UNIPAPEL on August 2, 2007, and subsequently reflected by it in the minimum price table, through a handwritten table sent by fax from the Paper Processing Workshops Public Limited Company (SAM). In the aforementioned handwritten document, UNIPAPEL is informed of the minimum prices proposed by PACSA. Additionally, alongside each of the product prices, the percentage increase in relation to the prices that had been agreed upon in February of that same year is included, only next to the products that had one of equal characteristics in UNIPAPEL, so the notes must have been made by an executive of UNIPAPEL. Below is part of the communication sent by PACSA to UNIPAPEL via fax. These prices coincide with the minimum prices included in the table provided by UNIPAPEL in which the minimum prices agreed upon by the companies, which PACSA applied: </w:t>
        <w:br/>
        <w:t xml:space="preserve">“BASIC </w:t>
        <w:br/>
        <w:t xml:space="preserve">Fº 80 - 529 +7 </w:t>
        <w:br/>
        <w:t xml:space="preserve">1/4 80 - 298 +6.8 </w:t>
        <w:br/>
        <w:t xml:space="preserve">1/4 40 - 233 +5 </w:t>
        <w:br/>
        <w:t xml:space="preserve">1/8 80 - 227 +2.2 </w:t>
        <w:br/>
        <w:t>1/12 80 - 181 +2.8</w:t>
      </w:r>
    </w:p>
    <w:p>
      <w:r>
        <w:t>(200) The minimum price table provided by UNIPAPEL was updated until January 2008. However, there is evidence in the file that leads this DI to assert that this price agreement continued from 2008, at least, until 2010 as UNIPAPEL claims in its request for exemption from the payment of the fine.</w:t>
      </w:r>
    </w:p>
    <w:p>
      <w:r>
        <w:t xml:space="preserve">(201) On March 7, 2008, UNIPAPEL received a fax from an unknown sender although of similar characteristics to that sent from SAM to UNIPAPEL on August 2, 2007, titled “PRICES 2008,” with the prices applied in March of that year for the references that were part of the paper processing agreement. It can be observed that these prices were different from those included in the UNIPAPEL table for January 2008. </w:t>
        <w:br/>
        <w:t xml:space="preserve">PRICES 2008 </w:t>
        <w:br/>
        <w:t xml:space="preserve">Cuad. Fº 80 h. normal cover 0.531 </w:t>
        <w:br/>
        <w:t xml:space="preserve">Cuad. 4º 80 h. normal cover 0.304 </w:t>
        <w:br/>
        <w:t xml:space="preserve">Cuad. Fº 80 h. hard cover 0.72 </w:t>
        <w:br/>
        <w:t xml:space="preserve">Cuad. 4º 80 h. hard cover 0.468 </w:t>
        <w:br/>
        <w:t xml:space="preserve">Rec. Fº 100h 0.614 </w:t>
        <w:br/>
        <w:t xml:space="preserve">Rec. 4º 100h 0.374 </w:t>
        <w:br/>
        <w:t xml:space="preserve">Reams A4 100h. 80 g 0.624 </w:t>
        <w:br/>
        <w:t xml:space="preserve">Cuad. A4 160 h. counter-covered 60g 1.501 </w:t>
        <w:br/>
        <w:t xml:space="preserve">Cuad. A4 160 h. Covered 70 g 2.01 </w:t>
        <w:br/>
        <w:t>Source: table of unknown authorship.</w:t>
      </w:r>
    </w:p>
    <w:p>
      <w:r>
        <w:t xml:space="preserve">(202) On January 29, 2009, a meeting took place at HISPAPEL, as indicated by the applicant for exemption from the payment of the fine. However, in the notes taken by the general director of UNIPAPEL, it is indicated that it was held at ASSOMA. The general directors of UNIPAPEL, PACSA, and ENRI, as well as the General Director of Distribution of UNIPAPEL, attended this meeting. Information was exchanged regarding the price increases of private label and distributor products, in addition to the price increases that each of them was going to implement, as reproduced below: </w:t>
        <w:br/>
        <w:t xml:space="preserve">“GGSS </w:t>
        <w:br/>
        <w:t xml:space="preserve">Oxford +5% </w:t>
        <w:br/>
        <w:t xml:space="preserve">Private Label 3.5-4% </w:t>
        <w:br/>
        <w:t xml:space="preserve">CARREFOUR: (…) logistics costs have remained 4.6% </w:t>
        <w:br/>
        <w:t xml:space="preserve">EROSKI (Pacsa): (…) </w:t>
        <w:br/>
        <w:t xml:space="preserve">PACSA: +3% only to 1 group shared with Zorrilla </w:t>
        <w:br/>
        <w:t xml:space="preserve">Rest proposal &lt;3% (Disnak is proposed 3% but has removed the prices from APP) </w:t>
        <w:br/>
        <w:t xml:space="preserve">APP: -20% in micro </w:t>
        <w:br/>
        <w:t xml:space="preserve">-15% in other T.D. </w:t>
        <w:br/>
        <w:t xml:space="preserve">Proposal is +3% </w:t>
        <w:br/>
        <w:t xml:space="preserve">CANSON Tariff +5% since January </w:t>
        <w:br/>
        <w:t xml:space="preserve">(Oxford hold) </w:t>
        <w:br/>
        <w:t xml:space="preserve">(Enri move if necessary) </w:t>
        <w:br/>
        <w:t xml:space="preserve">UNI: we propose +3% on all </w:t>
        <w:br/>
        <w:t xml:space="preserve">Comercial del Sur has raised 3-4%. </w:t>
        <w:br/>
        <w:t>(…)”</w:t>
      </w:r>
    </w:p>
    <w:p>
      <w:r>
        <w:t xml:space="preserve">(203) Among the documentation collected during the inspection carried out at the headquarters of PACSA, there is a table called “TARIFF PAPER PROCESSING 2008” in which the minimum prices agreed upon by UNIPAPEL, ENRI, and PACSA for the years 2008 and 2009 are detailed, as well as the rates that, based on these minimum prices, both ENRI and PACSA adopted, the latter handwritten on the document. Below is part of the content of that table: </w:t>
        <w:br/>
        <w:t xml:space="preserve">ENRI </w:t>
        <w:br/>
        <w:t xml:space="preserve">NORMAL COVER 60G. PACSA SERIES 2008 2009 </w:t>
        <w:br/>
        <w:t xml:space="preserve">2009 </w:t>
        <w:br/>
        <w:t xml:space="preserve">FOLIO 80 SHEETS [references] 0.523 0.533 0.574 547 </w:t>
        <w:br/>
        <w:t xml:space="preserve">FOLIO 50 SHEETS [references] 0.491 0.498 </w:t>
        <w:br/>
        <w:t xml:space="preserve">QUARTER 80 SHEETS [references] 0.299 0.305 0.323 313 </w:t>
        <w:br/>
        <w:t xml:space="preserve">QUARTER 40 SHEETS [references] 0.236 0.240 0.253 243 </w:t>
        <w:br/>
        <w:t xml:space="preserve">EIGHTH 80 SHEETS [references] 0.234 0.238 0.257 </w:t>
        <w:br/>
        <w:t xml:space="preserve">TWELFTH 80 SHEETS [references] 0.186 0.189 0.205 </w:t>
        <w:br/>
        <w:t xml:space="preserve">SIXTEENTH 80 SHEETS [references] 0.160 0.162 0.180 </w:t>
        <w:br/>
        <w:t xml:space="preserve">ENRI PACSA </w:t>
        <w:br/>
        <w:t xml:space="preserve">NOTEBOOKS WITHOUT COVER 60G 2008 2009 </w:t>
        <w:br/>
        <w:t xml:space="preserve">2009 </w:t>
        <w:br/>
        <w:t xml:space="preserve">FOLIO 80 SHEETS [references] 0.762 0.762 0.856 09 </w:t>
        <w:br/>
        <w:t xml:space="preserve">QUARTER 80 SHEETS [references] 0.419 0.419 0.464 +5 </w:t>
        <w:br/>
        <w:t xml:space="preserve">EIGHTH 80 SHEETS [references] 0.268 0.268 0.296 </w:t>
        <w:br/>
        <w:t xml:space="preserve">SIXTEENTH 80 SHEETS [references] 0.180 0.180 0.195 </w:t>
        <w:br/>
        <w:t>Source: table of unknown authorship.</w:t>
      </w:r>
    </w:p>
    <w:p>
      <w:r>
        <w:t>(204) Regarding the handwritten notes referring to the prices of PACSA for 2009 that appear handwritten in the tariff document.</w:t>
      </w:r>
    </w:p>
    <w:p>
      <w:r>
        <w:rPr>
          <w:b/>
        </w:rPr>
        <w:t>[Pages 37–39]</w:t>
      </w:r>
    </w:p>
    <w:p>
      <w:r>
        <w:t>regarding the aforementioned, they coincide with those indicated in the document titled “PRICES 2009,” provided by the applicant for exemption from the fine and also collected during the inspection carried out at PACSA's headquarters, where it is noted that this document was exchanged by email on March 30, 2009, between the companies involved in the case.</w:t>
      </w:r>
    </w:p>
    <w:p>
      <w:r>
        <w:t>(205) By way of example, the handwritten figures noted in the document “TARIFF MANIPULATION 2008” next to the products Folio 80 sheets, Quarter 80 sheets, and Quarter 40 sheets with normal cover 60G. PACSA Series (0.547, 0.313, and 0.243, respectively) match the corresponding prices for the products referenced as Cuad. Fº 80h. normal cover, Cuad. 4º 80h. normal cover, and Cuad. 4º 40h. normal cover (0.547, 0.313, and 0.243, respectively) from the document “PRICES 2009” exchanged between the investigated companies.</w:t>
      </w:r>
    </w:p>
    <w:p>
      <w:r>
        <w:t>(206) On the other hand, in the case of some references (such as those for the 60g unbound notepads), instead of stating the PACSA price for 2009 in the document “TARIFF MANIPULATION 2008” (folio 1094), it is indicated as the percentage over the minimum fixed price (“09 +5”), also coinciding with the PACSA prices from the document “PRICES 2009.”</w:t>
      </w:r>
    </w:p>
    <w:p>
      <w:r>
        <w:t>(207) Regarding the document “PRICES 2009” exchanged between the investigated companies and provided by the applicant for exemption from the fine, in the version provided by the latter, the 2009 rates of ENRI (“E”) and UNIPAPEL (“U”) are handwritten. The mentioned table is reproduced below (folio 376), with the prices applied by PACSA, ENRI, and UNIPAPEL, respecting the minimum prices agreed upon by the three companies reflected in the aforementioned table “TARIFF MANIPULATION 2008”:</w:t>
      </w:r>
    </w:p>
    <w:p>
      <w:r>
        <w:t>*Handwritten notes</w:t>
        <w:br/>
        <w:t>Source: table of unknown authorship.</w:t>
      </w:r>
    </w:p>
    <w:p>
      <w:r>
        <w:t>(208) Once again, the exchange of information between the investigated companies is evidenced in the email that on April 3, 2009, the General Director of the Distribution Division of UNIPAPEL sent to the General Directors of PACSA and ENRI with the UNIPAPEL rates for 2009 for products from the “back to school” campaign for wholesale customers. The content of the table exchanged between the investigated companies is reproduced below:</w:t>
      </w:r>
    </w:p>
    <w:p>
      <w:r>
        <w:t>“MINIMUM PRICES VAC 09 WHOLESALERS</w:t>
        <w:br/>
        <w:t>TARIFF 1 TARIFF 2</w:t>
        <w:br/>
        <w:t>Cuad. Fº 80h. normal cover 0.57 0.55</w:t>
      </w:r>
    </w:p>
    <w:p>
      <w:r>
        <w:t>Cuad. 4º 80h. normal cover 0.34 0.32</w:t>
        <w:br/>
        <w:t>Cuad. Fº 80h. 70 g. hard cover 0.91 0.87</w:t>
        <w:br/>
        <w:t>Cuad. 4º 80h. 70g. hard cover 0.57 0.55</w:t>
        <w:br/>
        <w:t>Cuad. A4 160h. 60g. laminated cover 1.63 1.59</w:t>
        <w:br/>
        <w:t>Block notes Fº 80h. with cover 1.09 1.02</w:t>
        <w:br/>
        <w:t>Block notes 4º 80h. with cover 0.60 0.58</w:t>
        <w:br/>
        <w:t>Block notes 8º 80h. with cover 0.34 0.33</w:t>
        <w:br/>
        <w:t>Block notes 16º 80h. with cover 0.26 0.22</w:t>
        <w:br/>
        <w:t>Block notes Fº 80h. without cover 0.84 0.80</w:t>
        <w:br/>
        <w:t>Block notes 4º 80h. without cover 0.45 0.43</w:t>
        <w:br/>
        <w:t>Block notes 8º 80h. without cover 0.30 0.28</w:t>
        <w:br/>
        <w:t>Block notes 16º 80h. without cover 0.21 0.19</w:t>
        <w:br/>
        <w:t>Refill Fº 100h. 0.64 0.63</w:t>
        <w:br/>
        <w:t>Refill 4º 100h. 0.41 0.39</w:t>
        <w:br/>
        <w:t>Reams A4 80g. 0.70 0.69</w:t>
        <w:br/>
        <w:t>Source: UNIPAPEL</w:t>
      </w:r>
    </w:p>
    <w:p>
      <w:r>
        <w:t>(209) There is also evidence in the file of the contacts maintained between the companies to achieve the agreements. Thus, the PACSA prices for DISTRISANTIAGO in January 2010 were also timely communicated to its competitor ENRI, as evidenced by the notes made in the document by PACSA personnel next to those prices:</w:t>
      </w:r>
    </w:p>
    <w:p>
      <w:r>
        <w:t>“01/21/10 Prices sent to […] to give them to Enri of Distrisantiago.”</w:t>
      </w:r>
    </w:p>
    <w:p>
      <w:r>
        <w:t>- Regarding the breaches</w:t>
      </w:r>
    </w:p>
    <w:p>
      <w:r>
        <w:t>9. The statements of the applicants for leniency contain information about tensions among cartel members that at specific moments led to punctual breaches of the conditions to be applied to a specific customer, as noted in the PCH reproduced below:</w:t>
      </w:r>
    </w:p>
    <w:p>
      <w:r>
        <w:t>(162) “During the validity of the cartel and according to the information provided by UNIPAPEL in its application for exemption from the fine, as well as by TOMPLA in its application for a reduction in the amount of the fine, breaches of the tacit agreement on customer allocation occurred. On these occasions, the cartel member harmed by the breach usually took actions against customers of the cartel member that had breached the pact, with many of those disagreements communicated via telephone. Regarding potential breaches concerning small customers by any cartel member, these were not sanctioned by the rest since the customers did not...</w:t>
      </w:r>
    </w:p>
    <w:p>
      <w:r>
        <w:rPr>
          <w:b/>
        </w:rPr>
        <w:t>[Pages 40–42]</w:t>
      </w:r>
    </w:p>
    <w:p>
      <w:r>
        <w:t>were of sufficient significance to justify a conflict among the cartel members, without any mechanism for compensating the cartel member harmed by the breach.</w:t>
      </w:r>
    </w:p>
    <w:p>
      <w:r>
        <w:t>(163) These disagreements are also inferred from the content of the table provided by the applicant for exemption from the fine, which has been reproduced earlier in this same section, indicating that in October 2007, the minimum prices of PACSA and ENRI were set independently. This may have been due, as indicated by the applicant for exemption, to disagreements over a client between PACSA and ENRI that were resolved the following year, resulting in a single agreed minimum price in 2008.</w:t>
      </w:r>
    </w:p>
    <w:p>
      <w:r>
        <w:t>LEGAL GROUNDS</w:t>
      </w:r>
    </w:p>
    <w:p>
      <w:r>
        <w:t>FIRST.- Applicable Legislation</w:t>
      </w:r>
    </w:p>
    <w:p>
      <w:r>
        <w:t>On national legislation</w:t>
      </w:r>
    </w:p>
    <w:p>
      <w:r>
        <w:t>On September 1, 2007, Law 15/2007, of July 3, on the Defense of Competition, came into force, which established the National Competition Commission (CNC) and declared the Autonomous Body Tribunal for the Defense of Competition and the Service for the Defense of Competition extinguished.</w:t>
      </w:r>
    </w:p>
    <w:p>
      <w:r>
        <w:t>The conduct that the Directorate of Investigation imputes as infringing the LDC began in 1995, thus being in force Law 16/1989, and would have continued under Law 15/2007, of July 3, on the Defense of Competition, which came into force on September 1, 2007. Regarding which of the two regulations should be applied, this Council has previously ruled (see Resolution of November 12, 2009, S/0037/08 Insurance Companies), reasoning that: “Both regulations prohibit in their article 1.1.a) the same conduct: agreements that have as their object, produce or may produce the effect of 'the direct or indirect fixing of prices or other commercial or service conditions' in whole or in part of the national market. Therefore, for the purposes of the legal qualification of the proven facts, it is irrelevant to apply one or the other Competition Law. In fact, the DI considers that the conduct imputed constitutes an infringement of art. 1.1.a) of Law 16/1989 until its repeal and of art. 1.1.a) of Law 15/2007 since its entry into force. The DI qualifies the imputed conduct as a cartel, (...) so for the purposes of the eventual sanction for the infringement of art. 1.1.a) LDC, the application of one or the other regulation is of no consequence.” “In cases like the present, where the conduct extends over time during the validity of two regulations (Law 16/1989 and Law 15/2007), according to art. 128 of Law 30/1992, the Council considers that it is necessary to apply one of the two, opting for the one that is most beneficial for the accused company according to the principles of non-retroactivity of the more unfavorable sanctioning regulation and retroactivity of the more favorable one for the infringer in the specific case.” In the context of this file, in which two applications for the clemency program have been submitted, it is immediate to state that Law 15/2007 should be applied, given that the absence of such a program in the previous legislation would prevent granting the benefits derived from it. And regarding procedural norms, there is no doubt that the corresponding application must be Law 15/2007, given that the initiation has occurred while that regulation was already in force.</w:t>
      </w:r>
    </w:p>
    <w:p>
      <w:r>
        <w:t>On community legislation</w:t>
      </w:r>
    </w:p>
    <w:p>
      <w:r>
        <w:t>The DI assesses that the infringement analyzed in this file is both of article 1 LDC and of article 101 TFEU. The Council agrees with the assessment that the Directorate of Investigation develops in the IPR (sections 241-248 of the Report), justifying the applicability of art. 101 TFEU to the present case.</w:t>
      </w:r>
    </w:p>
    <w:p>
      <w:r>
        <w:t>Conducts that may affect trade between Member States are liable to infringe article 101. According to the European Commission Guidelines on the applicability of article 101 TFEU to horizontal cooperation agreements, when applying this criterion, the following must be taken into account: the concept of "trade between Member States," the notion of "may affect," and the concept of "appreciability." And according to the aforementioned Guidelines, as this Council has repeatedly argued in previous resolutions (the most recent RCNC of December 21, 2012, S/0317/10 Archive Material), "the concept of 'trade' is not limited to traditional cross-border exchanges of goods and services, but is a broader concept that seeks to serve the fundamental objective of the Treaty to promote the free movement of goods, services, persons, and capital. Therefore, this article is also considered applicable insofar as the scope of the conduct has extended to the entire national territory and is capable of compartmentalizing the single internal market."</w:t>
      </w:r>
    </w:p>
    <w:p>
      <w:r>
        <w:t>Analyzing in the present case the scope, nature, and characteristics of the infringing conduct, as well as the companies participating in it, it must be reasonably concluded that they are likely to affect intra-community trade. The accused companies are the main producers of the products referred to as "paper processed" (notebooks, refills, pads, sheets, ...), both under their own manufacturer brand and under the distribution brand they supply, thus representing almost the entirety of the supply of paper processing in Spain, with some of the companies involved being subsidiaries of multinational companies or Spanish companies operating throughout the EEA. According to established doctrine and as the CNC Council has repeatedly pointed out, when faced with price agreements or market-sharing agreements with a national scope in which the main companies in the sector participate, it must be understood that such agreements are likely to appreciably affect intra-community trade.</w:t>
      </w:r>
    </w:p>
    <w:p>
      <w:r>
        <w:t>In short, the collusive agreements analyzed are likely to have effects on intra-community trade and, therefore, apt to infringe article 101 TFEU.</w:t>
      </w:r>
    </w:p>
    <w:p>
      <w:r>
        <w:t>SECOND.- Object of the Resolution</w:t>
      </w:r>
    </w:p>
    <w:p>
      <w:r>
        <w:t>The Directorate of Investigation has submitted to this Council a Report with a Proposal for Resolution in which it requests that the proven facts be qualified as an infringement of article 1 LDC and 101 TFEU, deserving of a sanction classified in art. 62.4) as very serious, being responsible for the same the companies ENRI 2000, S.L., HOLDHAM, S.A., PACSA, PAPELERA DEL CARRIÓN, S.L., MANUFACTURAS TOMPLA, S.A., UNIPAPEL, S.A. and UNIPAPEL TRANSFORMACIÓN Y DISTRIBUCIÓN, S.A., belonging to the business groups UNIPAPEL (now ADVEO), TOMPLA, and HAMELIN.</w:t>
      </w:r>
    </w:p>
    <w:p>
      <w:r>
        <w:t>It also proposes that UNIPAPEL (ADVEO) be granted exemption from the corresponding fine for its participation in the infringement, by virtue of the application of the clemency program regulated in article 65 LDC; and that TOMPLA be granted a reduction of the fine that corresponds to it, by virtue of the application of the clemency program regulated in article 66 LDC.</w:t>
      </w:r>
    </w:p>
    <w:p>
      <w:r>
        <w:t>The Council must, after assessing the proven facts and the allegations presented, resolve on the aforementioned proposal from the Directorate of Investigation.</w:t>
      </w:r>
    </w:p>
    <w:p>
      <w:r>
        <w:t>In the Proposal for Resolution Report, the Directorate of Investigation states that “(143) The proven facts in this file are based both on the information provided to the DI by the applicant for exemption from the fine, the applicant for reduction of the fine amount, as well as on the documentation collected during the inspections of October 27, 2010, and March 30, 2011, carried out at the premises of ENRI and PACSA, respectively, and the requests for information made by the DI both to the cartel participants and to their clients.</w:t>
      </w:r>
    </w:p>
    <w:p>
      <w:r>
        <w:t>And continues:</w:t>
      </w:r>
    </w:p>
    <w:p>
      <w:r>
        <w:t>“(144) From the analysis of all this documentation, this DI has been able to corroborate the information initially provided by the applicant for exemption, and the subsequently provided by the applicant for reduction, confirming during the instruction of this file the existence of:</w:t>
        <w:br/>
        <w:t>• An agreement between UNIPAPEL, ENRI, and PACSA to respect the traditional clients of each of them, especially regarding the manufacturing of private label manipulated products.</w:t>
        <w:br/>
        <w:t>• An agreement for the setting of minimum prices and conditions and percentage increases for certain references of paper processed products among UNIPAPEL, ENRI, and PACSA.</w:t>
      </w:r>
    </w:p>
    <w:p>
      <w:r>
        <w:t>(145) The previous practices are part of a single complex infringement, in which different agreements adopted by the members of the cartel formed by the main manufacturers of paper processing in Spain: UNIPAPEL, ENRI, and PACSA are subsumed.</w:t>
      </w:r>
    </w:p>
    <w:p>
      <w:r>
        <w:rPr>
          <w:b/>
        </w:rPr>
        <w:t>[Pages 43–45]</w:t>
      </w:r>
    </w:p>
    <w:p>
      <w:r>
        <w:t>(146) The paper processing manufacturing companies participating in the cartel implemented successive agreements with the same objective and under the same guidelines, to fix prices and divide the market by respecting the status quo in relation to their main clients.</w:t>
      </w:r>
    </w:p>
    <w:p>
      <w:r>
        <w:t>(147) The agreements, as indicated by both the applicant for exemption from the fine and the applicant for a reduction in the amount of the fine, began with respect for the different clients of each of the cartel participants, which all of them knew, based on mutual trust, in addition to an agreement on minimum selling prices for the most common items, setting prices for different channels, wholesalers, retailers, and large surfaces. The DI assesses that all the agreements described in the PCH are prohibited, given that Article 1.1.a) prohibits "agreements that have as their object, produce or may produce the effects of 'the fixing, directly or indirectly, of prices or other commercial or service conditions' in all or part of the national market, and in its letter c), 'the division of the market or sources of supply,' opposing any direct or indirect contact between competitors that has as its object or effect to influence the conduct of a real or potential competitor or to disclose to that competitor the conduct that has been decided to adopt or is intended to be adopted in the market." And it recalls that Article 1.2 LDC establishes "that agreements, decisions, and recommendations that, being prohibited under the provisions of paragraph 1, are not covered by the exemptions provided for in the Law, are null and void."</w:t>
      </w:r>
    </w:p>
    <w:p>
      <w:r>
        <w:t>It understands that "there is an agreement when the parties associate in a common plan that limits or may limit their individual commercial policy by determining their mutual lines of action or abstention in the market, it being unnecessary for such an agreement between competitors to be in writing, nor is it required that this agreement be formal, nor that contractual sanctions or measures to ensure compliance with what has been agreed have been established, such agreement may be explicit or implicit in the behavior of the parties, both once the agreement has been adopted or in the negotiation process leading to the final agreement between the participants in such agreement. The competitive functioning of the market requires that each operator decides its behavior and makes its decisions independently, without any type of agreement, since replacing independent action with collective action limits competition."</w:t>
      </w:r>
    </w:p>
    <w:p>
      <w:r>
        <w:t>And consequently, it assesses that the practice being analyzed is a practice prohibited by Article 1 LDC and 101 TFEU, being evidenced in the file: (i) that the concertation and coordination of actions among the investigated companies dates back at least to 1995, this infringement having continued from that moment until at least September 2010; (ii) that all the companies in the cartel have participated in all the practices evidenced in the Statement of Facts, and (iii) that, as a whole, they constituted the cartel. These practices fall within the definition of a cartel, "in that the object of these practices consisted of the adoption of a series of secret agreements between UNIPAPEL, ENRI, and PACSA of:</w:t>
      </w:r>
    </w:p>
    <w:p>
      <w:r>
        <w:t>82 Statements from the General Director of PACSA and the General Director of TOMPLA (folios 2631 to 2635).</w:t>
      </w:r>
    </w:p>
    <w:p>
      <w:r>
        <w:t>• Respect for the traditional Large Clients of each</w:t>
        <w:br/>
        <w:t>• Fixing of minimum prices and conditions and percentage increases in prices for certain references of paper processing products."</w:t>
      </w:r>
    </w:p>
    <w:p>
      <w:r>
        <w:t>And regarding the seriousness of the infringement, it concludes that it must adhere to the provisions of Article 62.3 a) of the LDC which establishes that "Very serious infringements are: The development of collusive conduct typified in Article 1 of the Law that consists of cartels or other agreements, decisions or collective recommendations, concerted practices or consciously parallel practices among companies that are competitors with each other, real or potential."</w:t>
      </w:r>
    </w:p>
    <w:p>
      <w:r>
        <w:t>The responsibility of the UNIPAPEL group, considering that the parent company of UNIPAPEL TRANSFORMACIÓN Y DISTRIBUCIÓN, S.A. is UNIPAPEL, S.A. (currently named ADVEO) and without it being recorded that UNIPAPEL or UNIPAPEL, S.A. publicly indicated to the other companies participating in the cartel its intention to end its participation in it, must be attributable to UNIPAPEL TRANSFORMACIÓN Y DISTRIBUCIÓN, S.A. and its parent UNIPAPEL, S.A., for the period from at least 1995 until at least September 2010.</w:t>
      </w:r>
    </w:p>
    <w:p>
      <w:r>
        <w:t>Regarding the responsibility of the TOMPLA group, it assesses that: (i) since the share capital of PACSA has belonged since May 1995 100% to MANIPULADOS DE MONZÓN, S.L., which is a company belonging to the TOMPLA group and ultimately controlled by the parent company of the group, MANUFACTURAS TOMPLA, S.A. which ultimately holds 100% of the shares of MANIPULADOS DEL MONZÓN, and (ii) that neither PACSA, PAPELERA DEL CARRION, S.L. nor MANUFACTURAS TOMPLA indicated to the other companies in the cartel their intention to end their participation in the cartel, the analyzed behaviors are attributable to PACSA, PAPELERA DEL CARRION, S.L. and the parent of the group MANUFACTURAS TOMPLA, S.A., at least from 1995 until September 2010.</w:t>
      </w:r>
    </w:p>
    <w:p>
      <w:r>
        <w:t>And finally, regarding the HAMELIN Group, it is recorded in the file that: (i) ENRI is a company established on December 3, 1990, (ii) that from 1995 until May 2010, ENRI was entirely controlled by EuroHOLDHAM, S.A.; (iii) that in May 2010 EuroHOLDHAM S.A. was absorbed by HOLDHAM as a result of a corporate merger, the latter acquiring 100% of the share capital of ENRI, and (iv) that in January 2011, the structure of the group in Spain changed, HOLDHAM began to control ENRI through the company HAMELIN BRANDS, S.L., a 100% subsidiary of HOLDHAM S.A. which is entirely controlled by the Hamelin Group. And since neither ENRI nor HOLDHAM publicly indicated to the other companies in the cartel their intention to end their participation in the cartel, it is considered that the analyzed behaviors are attributable to ENRI 2000, S.L. and HOLDHAM, S.A. for the period from at least 1995 until at least September 2010.</w:t>
      </w:r>
    </w:p>
    <w:p>
      <w:r>
        <w:t>The Directorate of Investigation also reports in the IPR regarding the role of the company PESTAÑA ARAOZ, C.B. with the trade name MANIPULADOS ZORRILLA, which appears in some documents that are part of the file, that this company was not included among the companies that participated in the cartel as deduced from what was indicated by both the applicant for exemption from the fine and the applicant for a reduction in the amount of the fine, the company itself, and the evidence incorporated into the file.</w:t>
      </w:r>
    </w:p>
    <w:p>
      <w:r>
        <w:t>For all the above, the Proposal for Resolution submitted to the Council is expressed in the following terms:</w:t>
      </w:r>
    </w:p>
    <w:p>
      <w:r>
        <w:t>− First. That the existence of collusive conduct under Article 1 of Law 16/1989, the current Article 1 of the LDC, and Article 101 of the TFEU, be declared, due to the agreements adopted and implemented by the companies ENRI 2000, S.L., HOLDHAM, S.A., PACSA, PAPELERA DEL CARRIÓN, S.L., MANUFACTURAS TOMPLA, S.A., UNIPAPEL, S.A. and UNIPAPEL TRANSFORMACIÓN Y DISTRIBUCIÓN, S.A. through contacts and meetings between representatives of these companies from 1995 until September 2010, which fall within the definition of a cartel, in that the object of the agreements reached and implemented by these companies consisted of the fixing of prices of paper processing products, as well as the division of the market through the division of clients in Spain.</w:t>
      </w:r>
    </w:p>
    <w:p>
      <w:r>
        <w:t>− Second. That this collusive conduct be classified, for the purposes of determining the sanction to be imposed, as a very serious infringement under Article 62.4.a) of the LDC.</w:t>
      </w:r>
    </w:p>
    <w:p>
      <w:r>
        <w:t>− Third. That those responsible for this infringement be declared, in accordance with Article 61 of the LDC, to be:</w:t>
        <w:br/>
        <w:t>1. ENRI 2000, S.L. and its parent HOLDHAM, S.A. (companies of the HAMELIN GROUP) for the period from 1995 until September 2010.</w:t>
        <w:br/>
        <w:t>2. PACSA, PAPELERA DEL CARRIÓN, S.L. and its parent MANUFACTURAS TOMPLA, S.A. (companies of the TOMPLA GROUP), for the period from 1995 until September 2010.</w:t>
        <w:br/>
        <w:t>3. UNIPAPEL TRANSFORMACIÓN Y DISTRIBUCIÓN, S.A. and its parent UNIPAPEL, S.A. (companies of the UNIPAPEL GROUP), for the period from 1995 until September 2010.</w:t>
      </w:r>
    </w:p>
    <w:p>
      <w:r>
        <w:t>− Fourth. That the sanction provided for in Article 63.1.c) of the LDC for very serious infringements be imposed, with a fine of up to 10% of the total turnover of the infringing companies in the financial year immediately preceding the imposition of the fine that may correspond, taking into account the criteria for determining the sanction provided for in Article 64 of the LDC.</w:t>
      </w:r>
    </w:p>
    <w:p>
      <w:r>
        <w:t>And regarding the aforementioned leniency program, it proposes:</w:t>
        <w:br/>
        <w:t>a) That UNIPAPEL TRANSFORMACIÓN Y DISTRIBUCIÓN, S.A. and its parent UNIPAPEL, S.A., companies of the UNIPAPEL GROUP, be exempted from the payment of the fine, in accordance with the conditional exemption granted by the DI, in accordance with Article 65.1.a) of the LDC and Article 47.1 of the RDC, by providing evidence that, in the opinion of the DI, allowed it to order the</w:t>
      </w:r>
    </w:p>
    <w:p>
      <w:r>
        <w:rPr>
          <w:b/>
        </w:rPr>
        <w:t>[Pages 46–48]</w:t>
      </w:r>
    </w:p>
    <w:p>
      <w:r>
        <w:t>development of an inspection in relation to the cartel described in the aforementioned request for exemption from the payment of the fine. Therefore, if at the end of the sanctioning procedure UNIPAPEL TRANSFORMACIÓN Y DISTRIBUCIÓN, S.A. and its parent company UNIPAPEL, S.A. have met the requirements established in Article 65.2 of the LDC, the Council of the CNC, in accordance with the proposal of the DI, will grant them exemption from the payment of the fine that would otherwise be applicable.</w:t>
      </w:r>
    </w:p>
    <w:p>
      <w:r>
        <w:t>b) That the amount of the sanction corresponding to PACSA, PAPELERA DEL CARRIÓN, S.L. and its parent company MANUFACTURAS TOMPLA, S.A., companies of the TOMPLA GROUP, be reduced in accordance with Article 66 of the LDC and Article 50.6 of the RDC, since once the content of the request for reduction of the fine submitted has been assessed, this DI considers that it has provided significant added value to demonstrate the existence of the cartel. Therefore, if at the end of the sanctioning procedure PACSA, PAPELERA DEL CARRIÓN, S.L. and its parent company MANUFACTURAS TOMPLA, S.A. have met the requirements established in Article 66.1 of the LDC, the Council of the CNC, in accordance with the proposal of the DI, will grant them a reduction in the amount of the fine that would otherwise be applicable. Furthermore, in accordance with the provisions of Article 66.3 of the LDC and since the evidence provided has allowed for the advancement of the start of the cartel and this fact has a direct impact on the amount of the fine that may correspond, when determining the amount of the fine for the companies of the TOMPLA Group, this additional period of their participation in the cartel, from 1995 to 2002, will not be taken into account. Regarding the level of reduction of the fine, considering that it was the first to meet the requirements set forth in Article 66.1 of the LDC, it may benefit from a reduction of the fine of between 30% and 50%, in accordance with the provisions of Article 66.2 of the LDC, although this DI considers that the Council of the CNC should assess when determining, if applicable, the percentage of reduction of the fine corresponding to that tranche, that a large part of the evidence provided by the TOMPLA Group was submitted after clarifications were requested by this DI.</w:t>
      </w:r>
    </w:p>
    <w:p>
      <w:r>
        <w:t>THIRD.- Allegations of the parties</w:t>
      </w:r>
    </w:p>
    <w:p>
      <w:r>
        <w:t>UNIPAPEL</w:t>
      </w:r>
    </w:p>
    <w:p>
      <w:r>
        <w:t>UNIPAPEL expresses its agreement with the description of the facts made in the Statement of Specific Facts and reproduced in the Proposal for Resolution, as well as with the legal qualification made of them in said proposal. The first reason is that the description of the facts provided by the Investigation Directorate aligns with that provided by UNIPAPEL in the context of its request for exemption regarding its participation and that of the other companies in its group in certain agreements with competitors in the paper processing sector, submitted on September 14, 2010. The second reason is that it considers that these facts would constitute a practice prohibited by Article 1 LDC and 101 of the Treaty on the Functioning of the European Union, which would undoubtedly fall within the definition of cartel contained in Additional Provision 4a of the LDC, as they constituted a secret and complex agreement among competitors for price fixing and market sharing in the paper processing sector.</w:t>
      </w:r>
    </w:p>
    <w:p>
      <w:r>
        <w:t>Regarding the evidentiary value of UNIPAPEL's leniency application within the framework of the same, they argue that UNIPAPEL provided a description of the agreements that constituted the cartel in the paper processing sector and presented evidentiary documentation and several statements from UNIPAPEL executives who had directly participated in the cartel meetings. They assert that these statements would have been confirmed by TOMPLA in its request for reduction of the fine, highlighting that the statements of the executives participating in the meetings on behalf of TOMPLA align with the statements made by the executives of UNIPAPEL, and in accordance with established doctrine and consolidated jurisprudence, these statements enjoy particularly high evidentiary value (Judgment of the Court of Justice of the European Union of January 2007, C-403/04 P and C-405/04 P, Sumitomo Metal Industries Ltd and Nippon Steel Corp. v. Commission and Resolution of the CNC of February 23, 2012 in file S/0244/10, Navieras Baleares). All of this makes it deserving of the exemption from the sanction that would otherwise correspond to it, as the Investigation Directorate has proposed to the Council of the CNC.</w:t>
      </w:r>
    </w:p>
    <w:p>
      <w:r>
        <w:t>Lastly, it claims to have fulfilled all the requirements established by Article 65 LDC to obtain the exemption, as it was the first company to provide evidence that allowed for the ordering of an inspection in the sense established in Article 65.1 of the LDC, as stated by the Investigation Directorate in its Proposal for Resolution; and in the sense of Article 65.2 of the LDC, by: (i) having cooperated fully, continuously, and diligently, providing the CNC throughout the procedure with all available documents and information related to the behaviors investigated in this file; (ii) having ended its participation in the alleged infringement prior to the request for exemption from the payment of the fine, as evidenced by the facts contained in the PCH that are included in the Proposal for Resolution; (iii) not having destroyed evidence related to the request for exemption nor having revealed to third parties other than the National Competition Commission its intention to submit the request for exemption from the payment of the fine or its content; (iv) not having taken any measures to compel other companies to participate in the infringement pursued in this procedure, since although UNIPAPEL played a prominent role in the facts subject to this file, this cannot be interpreted as meaning that it coerced other companies to participate in the cartel. Therefore, as indicated in the Proposal for Resolution, it has not been proven that UNIPAPEL was the instigator and promoter of the cartel, but rather that each of the cartel companies made the decision to participate in it freely and of their own accord.</w:t>
      </w:r>
    </w:p>
    <w:p>
      <w:r>
        <w:t>For all these reasons, it argues that in the resolution that concludes this sanctioning procedure, the Council should grant UNIPAPEL the exemption from the fine that would correspond to it, in accordance with Article 65 of the LDC.</w:t>
      </w:r>
    </w:p>
    <w:p>
      <w:r>
        <w:t>TOMPLA</w:t>
      </w:r>
    </w:p>
    <w:p>
      <w:r>
        <w:t>TOMPLA acknowledges the facts contained in the PCH and its participation in the infringement described therein, presenting its allegations only regarding issues related to the determination of the amount of the eventual sanction that may correspond to it and, in particular, to state: (i) that it corresponds to it, under the leniency program, within the range of reduction of the sanction provided for in Article 66.2.a) LDC, the maximum possible reduction, that is, 50%; (ii) that the initial period of the infringement should not be taken into account, pursuant to Article 66.3 LDC, when determining the amount of the fine corresponding to TOMPLA; and (iii) that the sanction imposed in this file should not exceed, together with that imposed in File S/316/10, Paper Envelopes, the maximum limit provided for in Article 63.1 LDC.</w:t>
      </w:r>
    </w:p>
    <w:p>
      <w:r>
        <w:t>It argues that it agrees with the proposal of the DI contained in the PR (par. 39 and 177.b) according to which "since the information provided by TOMPLA has allowed this DI to establish not only the year the cartel began but also to identify the companies that have participated in the cartel since that year, in accordance with Article 66.3 of the LDC, when determining the amount of the fine corresponding to the TOMPLA Group, this additional period of their participation in the cartel, from 1995 to 2002, will not be taken into account."</w:t>
      </w:r>
    </w:p>
    <w:p>
      <w:r>
        <w:t>Regarding the possible reduction of the sanction, the DI indicates that TOMPLA was the first company to meet the requirements of Article 66.1 LDC, particularly the provision of significant added value, and leaves the decision on the specific percentage of reduction in the hands of the Council, indicating that it must assess "that a large part of the evidence provided by the TOMPLA Group was submitted after clarifications were requested by this DI."</w:t>
      </w:r>
    </w:p>
    <w:p>
      <w:r>
        <w:t>TOMPLA argues that it should be granted a 50% reduction because already in its initial leniency application, TOMPLA provided decisive information and documentary evidence that significantly increased the DI's ability to prove the existence of the infringement. Evidence was provided of the meeting that took place on June 20, 1995, between representatives of HAMELIN, UNIPAPEL, and TOMPLA, in which, as stated by the DI, "the foundations were laid that would allow for the definitive adoption of the agreement in the paper processing sector months later." It appeals to the high evidentiary value of the document, given the large number of citations it receives in the PCH. The evidence provided by TOMPLA and, therefore, in particular the minutes of the meeting of June 20, 1995, submitted along with its initial writing, would have allowed it to establish not only the start date of the cartel but also to identify the companies that have participated in the cartel since that moment.</w:t>
      </w:r>
    </w:p>
    <w:p>
      <w:r>
        <w:t>It argues that what is relevant is the added value provided, the degree of this value, not the moment in which it is provided nor whether it is in response to a request for clarification from the competition authority or by the company's spontaneous initiative, since these circumstances do not detract from the evidentiary value of what has been provided. And this is established in the current Leniency Communication of the European Commission, in its paragraph 26, which states that "the degree of added value that the contributions of the applicant have entailed" will be taken into account. And regarding the LDC, it does not impose any temporal limit (inspection, PCH, etc.) on the possibility of providing value.</w:t>
      </w:r>
    </w:p>
    <w:p>
      <w:r>
        <w:rPr>
          <w:b/>
        </w:rPr>
        <w:t>[Pages 49–51]</w:t>
      </w:r>
    </w:p>
    <w:p>
      <w:r>
        <w:t>significant added value for the purposes of its Article 66 and, they argue that Article 50.3 RDC provides for the acceptance of requests for reduction of the fine submitted after the notification of the PCH. They insist that what is relevant is not whether the information was provided in response to a request for clarification from the DI, but the degree of added value that such information provided to the DI.</w:t>
      </w:r>
    </w:p>
    <w:p>
      <w:r>
        <w:t>Regarding the information provided in the request for clarification, they argue that this second contribution also provided the DI with a high degree of added value, referring to the meetings of August 2, August 28, and September 27, 1995, with TOMPLA being the company that has provided evidence that has allowed the DI to establish not only the existence but also the content of those Meetings, providing contemporaneous evidence. Therefore, the Council should assess both contributions as a whole. They continue their arguments stating that "In any case, if the information and evidence provided by TOMPLA are deserving of the application of the partial immunity rule provided for in Article 66.3 LDC - as established by the DI itself in the PR - for allowing 'the establishment of additional facts with direct impact on the amount of the fine', by definition, such information and evidence make TOMPLA necessarily entitled to the maximum degree of reduction of the fine provided for by the LDC in application of the leniency program. One cannot have one (partial immunity, art. 66.3) without the other (maximum degree of reduction)."</w:t>
      </w:r>
    </w:p>
    <w:p>
      <w:r>
        <w:t>In relation to the timing of TOMPLA's leniency application, and particularly in light of ENRI's allegation regarding the rejection of TOMPLA's leniency application which, in their opinion, should arise from the supposedly "late" submission of it, TOMPLA agrees with the DI in stating that the legislation itself (art. 50.3 RDC) provides for the possibility that requests for reduction of the fine may be submitted even after the notification of the PCH, so TOMPLA's request for reduction, submitted prior to the PCH, cannot in any case be rejected based on a supposed "late submission."</w:t>
      </w:r>
    </w:p>
    <w:p>
      <w:r>
        <w:t>All of this should make TOMPLA deserving of the maximum reduction.</w:t>
      </w:r>
    </w:p>
    <w:p>
      <w:r>
        <w:t>Finally, TOMPLA argues that the penalty imposed in this case should not exceed, together with the one imposed in case S/316/10, the maximum limit established in Article 63.1 LDC, which is 10% of the total turnover of the infringing company in the year prior to the imposition of the infringement. The DI rejects this allegation, arguing that the facts subject to each of the aforementioned cases constitute "two differentiated cartels," as there are "different entities charged (17 in case S/0316/10, compared to the 3 business groups charged in this case), different infringement periods (33 years in case S/0316/10 and 15 years in this case) and affecting different markets (paper envelope market and manipulated products market)."</w:t>
      </w:r>
    </w:p>
    <w:p>
      <w:r>
        <w:t>According to TOMPLA, none of the alleged "differences" pointed out by the DI constitute an obstacle to appreciating the existence of a single infringement that must, as such, be sanctioned with a single penalty so as not to contravene Article 63.1.c) LDC. This is because: (i) "the alleged difference in the entities charged is not such, since there is a coincidence among them in the sense that the three business groups that are the subject of this case (UNIPAPEL, TOMPLA, and HAMELIN) are also part of case S/0316/10" (Citing the CE Decision in the case of Bathroom products and accessories, in which the existence of a single and continuous infringement covering three different types of products (sanitary porcelain products, faucet products, and shower screens) was sanctioned, and in which not all companies were present in the manufacture of the different elements. They could also cite the TG ruling in Quinn Barios, which annulled the CE decision regarding its declaration that Bario had participated in the single infringement concerning the three products (when only his participation in one of them was proven), but not the annulment of the declaration of the existence of a single infringement concerning the three products. The TG stated: "The mere circumstance that each company participates in the infringement in a specific manner does not affect the qualification of the infringement as a single and continuous infringement."</w:t>
      </w:r>
    </w:p>
    <w:p>
      <w:r>
        <w:t>With respect to the case at hand, TOMPLA believes that the CNC could declare the existence of a single infringement encompassing envelopes and notebooks, even though certain companies participating in the part of the infringement related to envelopes were not active in the notebook sector and/or did not know that the infringement also referred to that sector.</w:t>
      </w:r>
    </w:p>
    <w:p>
      <w:r>
        <w:t>Secondly, the alleged difference in the duration of the agreements would also not be relevant for the qualification as a single infringement. Indeed, the practices in the envelope sector began earlier (1978) than the practices in the notebook sector (1995), but throughout the duration of the infringement related to notebooks, the agreements related to the envelope sector remained in force. In TOMPLA's opinion, there is therefore a total subsumption of the duration of the agreements in the notebook sector within the duration of the agreements in the envelope sector. (They cite the European Commission Decision in the case of Hydrogen peroxide and Perborate, in which the agreements related to sodium perborate began later and ended earlier than the agreements related to hydrogen peroxide, yet the Commission considered it to be a single infringement covering both products).</w:t>
      </w:r>
    </w:p>
    <w:p>
      <w:r>
        <w:t>Thirdly, they argue that the fact that different products are involved does not necessarily mean that there are distinct infringements, as in the meeting of June 20, 1995, on which the foundations of the agreements related to notebooks were laid, it was stated: "AM [representative of UNIPAPEL] There are two scenarios: 1.- A: Respect the status quo in the notebook with reasonable prices: We would not touch the French envelope market. [...] If it enters Spain in the envelope market [referring to HAMELIN], we [UNIPAPEL/TOMPLA] will enter France with everything. [...]". TOMPLA reasons that the "agreement referred to in that meeting involved a freezing of the market shares of the participants in the notebook sector in Spain, along with the inhibition by HAMELIN of entering the envelope sector in Spain and the respect, by UNIPAPEL and TOMPLA, of the status quo in that sector in France, as explained by TOMPLA in its leniency application and as evidenced by the minutes of the aforementioned meeting of June 20, 1995."</w:t>
      </w:r>
    </w:p>
    <w:p>
      <w:r>
        <w:t>Finally, they argue that if it is not considered that the 10% limit should be applied to the totality of the penalties imposed on TOMPLA as substantiated, the artificial subdivision of a single cartel into several infringements would empty the benefit of leniency guaranteed by Article 66 of the LDC of its content, since the imposition of several penalties for a single infringement, each up to the limit of 10% of the annual turnover, would leave any reduction for leniency without substance.</w:t>
      </w:r>
    </w:p>
    <w:p>
      <w:r>
        <w:t>ENRI</w:t>
      </w:r>
    </w:p>
    <w:p>
      <w:r>
        <w:t>ENRI bases its allegations on the following: (i) there is an incorrect assessment of the products affected by the alleged agreements, since Oxford brand notebooks and fantasy products are not included among the products subject to the alleged agreement; and (ii) that the duration of the charge is incorrect, as the analyzed behaviors do not form part of a single and continuous infringement covering the period 1995-2010.</w:t>
      </w:r>
    </w:p>
    <w:p>
      <w:r>
        <w:t>Regarding the scope of the products affected by the cartel, they argue that it is not a matter of defining the relevant market, nor do they claim that, for the establishment of the existence of a cartel, the relevant market must be precisely defined in the sense given to such definition in cases of abuse of dominant position or analysis of economic concentrations, but rather that only those products that were the subject of such an agreement can be considered part of a price-fixing or customer allocation agreement and that, therefore, those other products manufactured by ENRI that were outside the alleged agreement, specifically, Oxford brand products and fantasy products, cannot be considered affected by the cartel. This is regardless of the existence or not of the cartel. UNIPAPEL believes that the DI shifts the burden of proof, reasoning that since the leniency applicants have not expressly excluded Oxford brand products and fantasy products, then they must necessarily be understood as included in the cartel reported by those companies. However, ENRI argues that only if there is irrefutable evidence in the file that the Oxford brand and fantasy products marketed by them were included in the price-fixing and customer allocation agreements that are the subject of this procedure, can it be defended that such products were part of the cartel. Otherwise, the sales volume related to those products cannot be taken into account in the calculation of the potential fine that may be imposed on ENRI in this procedure.</w:t>
      </w:r>
    </w:p>
    <w:p>
      <w:r>
        <w:t>In its argumentation, it claims that: (i) the substantial differences between standard paper manipulations and Oxford brand notebooks and fantasy products make it impossible for the latter to be part of the alleged cartel; and (ii) the fact that the statements of the leniency applicants have not expressly excluded the products marketed under the Oxford brand and fantasy products does not imply that they were included.</w:t>
      </w:r>
    </w:p>
    <w:p>
      <w:r>
        <w:rPr>
          <w:b/>
        </w:rPr>
        <w:t>[Pages 52–54]</w:t>
      </w:r>
    </w:p>
    <w:p>
      <w:r>
        <w:t>first allegation on the fact that of the four products in which the production of ENRI in paper processing can be classified, the price-fixing and customer allocation agreements that this file deals with can only refer to the first two categories of products: standard private label products (own brand) and standard manufacturer brand products marketed under the ENRI brand (own brand), which include around 140 references. The other two types of products are the Oxford brand notebooks of a quality and price far superior to those marketed under the ENRI brand, which include around 340 references, and fantasy products, which include themed notebooks or stationery materials featuring comic characters, athletes, or celebrities. For the commercialization of these products, ENRI obtains the corresponding licenses from the owners of the rights associated with the characters or personalities in question. These products have characteristics and prices that are significantly higher than those marketed under the ENRI brand. The differences between the products have a direct impact on quality and, consequently, on the price of the product, since, for example, a higher weight will better withstand the ink of a pen than a standard notebook with thinner paper. That is to say, the quality of an Oxford notebook is much greater than that of an ENRI or private label notebook. And this is how it is perceived by the consumer.</w:t>
      </w:r>
    </w:p>
    <w:p>
      <w:r>
        <w:t xml:space="preserve">In support of this product differentiation, they provide various pieces of evidence in their allegations, such as: </w:t>
        <w:br/>
        <w:t xml:space="preserve">(i) the market positioning strategy for these products is also different, which translates into a different weight in the distribution channels; </w:t>
        <w:br/>
        <w:t xml:space="preserve">(ii) given the difference in quality, the weight of sales of the Oxford brand in the premium channels par excellence: retail (retailers such as Carlin and Folder) and El Corte Inglés, is much higher than that of ENRI or private label notebooks, with only a percentage below two digits of the total sales of ENRI brand or private label notebooks being marketed through the retail channel or El Corte Inglés; </w:t>
        <w:br/>
        <w:t xml:space="preserve">(iii) between the products marketed under the ENRI brand and those under the Oxford brand, the investments that the Company makes to promote and strengthen the image of the latter brand are very significant, as ENRI only makes advertising investments in relation to the Oxford brand, and these investments have been particularly relevant in the last decade and unparalleled, not only within the Company in relation to its other brands but also in any other competitor in the market, with television advertising being a striking example, as no other paper processing brand has made a single investment in television advertising; </w:t>
        <w:br/>
        <w:t>(iv) the differences in sales trends in the two markets, as while sales in the standard paper processing market (products marketed under the ENRI brand and distributor brand products) have remained more or less stable from 2006 to 2010 (with a slight reduction of 13%), products marketed under the Oxford brand have experienced a strong increase (of 152%).</w:t>
      </w:r>
    </w:p>
    <w:p>
      <w:r>
        <w:t>(v) one of the most significant differences between Oxford brand notebooks and ENRI brand notebooks occurs in price. This is the fundamental element to rule out that Oxford notebooks could be part of the agreements that are the subject of investigation in this procedure.</w:t>
      </w:r>
    </w:p>
    <w:p>
      <w:r>
        <w:t>And regarding the documents on which the DI bases its findings, information provided by the applicants for leniency, which includes price figures for certain time periods, there is no reason to consider that those listings referred to minimum prices for both ENRI notebooks and Oxford notebooks. According to ENRI, the DI intends to consider the existence of a price-fixing agreement concerning both ENRI brand notebooks and Oxford brand notebooks based on documents that include references to prices for different time periods when those prices would be in the range of the actual prices of ENRI type notebooks but tremendously far from the actual prices of Oxford brand notebooks.</w:t>
      </w:r>
    </w:p>
    <w:p>
      <w:r>
        <w:t>Finally, since neither UNIPAPEL nor TOMPLA are present in this product category, according to ENRI, a price agreement for a product in which they do not compete is entirely illogical.</w:t>
      </w:r>
    </w:p>
    <w:p>
      <w:r>
        <w:t>Regarding the alleged shifting of the burden of proof, they argue that the fact that the statements of the applicants for leniency did not expressly exclude products marketed under the Oxford brand and fantasy products does not imply that they were included. They claim that the documents cited by the DI to support its theory are circumstantial documents. In the case of the handwritten notes from UNIPAPEL that refer to Oxford notebooks, these correspond to the fact that precisely in 2009, UNIPAPEL and ENRI began negotiating the acquisition by the former of notebooks marketed under the OXFORD brand. UNIPAPEL, in addition to being a manufacturer, acts as a wholesaler, and to meet the needs of its customers, it must have a complete range of notebooks and other paper processing products, and for this reason, since 2007, UNIPAPEL began purchasing ELBA brand (filing material) and CANSON (artistic drawing) products from ENRI, and in 2009 UNIPAPEL expressed interest in purchasing Oxford notebooks from ENRI, which has been substantiated by providing invoices that prove that ENRI supplies UNIPAPEL with OXFORD brand products. The conversation between ENRI and UNIPAPEL would have taken place under a supplier-client relationship. The same explanation applies to the second document referenced by the DI in which an email would have been sent with the 2009 OXFORD rates.</w:t>
      </w:r>
    </w:p>
    <w:p>
      <w:r>
        <w:t>The second element on which they base their allegations, the non-existence of a continuous infringement since 1995, ENRI claims that there is no evidence that any agreement was reached in the 1995 meetings or that it continued until 2002. Regarding the 1995 meetings, in addition to the pressure from their competitors to attend those meetings, the outcome was that after initial contacts in June and August, ENRI, UNIPAPEL, and TOMPLA met on September 27, 1995, without reaching any agreement, as can be inferred from the minutes presented by TOMPLA, where in the conclusions section it reads: [...]</w:t>
      </w:r>
    </w:p>
    <w:p>
      <w:r>
        <w:t>"It seems that [the President of the HAMELIN Group] wants to have more market and therefore does not want agreements. It is clear that he has gone back on his words from the last meeting on 2/8 [...]" (emphasis added). According to ENRI, these words refute the DI's interpretations regarding the conclusion of any agreement, and the start of the alleged cartel cannot be placed in 1995.</w:t>
      </w:r>
    </w:p>
    <w:p>
      <w:r>
        <w:t>Equally inadmissible would be, according to ENRI, the consideration that the alleged cartel would have continued in the following years when the only documentary evidence referenced in relation to the price-fixing agreement refers to the period 2002-2008 or later years. Therefore, the absence of evidence regarding the alleged restrictive behaviors between 1995 and 2002 makes it impossible to appreciate the continuity of the infringement during that period.</w:t>
      </w:r>
    </w:p>
    <w:p>
      <w:r>
        <w:t>The consideration of continuity between 1995 and 2002 would be based exclusively on the statements made by the applicants for leniency, and the jurisprudence establishes that if there are no evidentiary elements that allow for the direct demonstration of the duration of the infringement, the competition authorities must rely on evidence of facts sufficiently close in time, so that it can be reasonably accepted that the infringement continued uninterruptedly between two specific dates. They cite the recent Judgment of the General Court of July 12, 2011, in case T-133/07, Mitsubishi Electric Corp. v. European Commission, in which it is stated: "According to the case law, in the event of a dispute regarding the existence of the infringement, the requirement of legal certainty, which economic agents must benefit from, implies that the Commission, which bears the burden of proof for the infringements it claims to have discovered, must provide adequate evidence to sufficiently demonstrate in accordance with the law the existence of the facts constituting the infringement. As for, more specifically, the duration attributed to an infringement, the same principle of legal certainty requires that, if there is no evidence to directly demonstrate the duration of an infringement, the Commission must invoke, at least, evidence of facts sufficiently close in time, so that it can be reasonably accepted that the infringement continued uninterruptedly between two specific dates (Judgments of the Court of July 7, 1994, Dunlop Slazenger/Commission, T-43/92, Rec. p. 11-441, paragraph 79; of July 6, 2000, Volkswagen/Commission, T-62/98, Rec. p. 11-2707, paragraph 188, and Degussa/Commission, T-279/02, Rec. p. 11-897, paragraphs 114 and 153)" (paragraph 241, emphasis added).</w:t>
      </w:r>
    </w:p>
    <w:p>
      <w:r>
        <w:t>And in this regard, ENRI considers that 1995 and 2002 are not sufficiently close in time to establish continuity, and refers to a set of files from the CNC where the maximum periods without direct documentary evidence that have been considered valid to declare continuity would not have been 23 months, that is, less than two years. ENRI adds that the leniency applications do not possess sufficient evidentiary value if they are not accompanied by solid documentary evidence, and that the limited evidentiary value, in their opinion, that the courts, both European and Spanish, have recognized for mere statements of the applicants for leniency is based on the fact that, on many occasions, the exculpatory intent can influence the statements of these defendants in such a way as to attempt to broaden the temporal or objective scope of the</w:t>
      </w:r>
    </w:p>
    <w:p>
      <w:r>
        <w:rPr>
          <w:b/>
        </w:rPr>
        <w:t>[Pages 55–57]</w:t>
      </w:r>
    </w:p>
    <w:p>
      <w:r>
        <w:t>agreements to achieve a greater reduction in the amount of the fine. Such is, in their opinion, the case of TOMPLA.</w:t>
      </w:r>
    </w:p>
    <w:p>
      <w:r>
        <w:t>Regarding the rest of the period, continuity would have been interrupted by the alleged price war from 2005 to 2007, and it would not have been sufficiently proven that the alleged cartel was in effect during the period 2005-2007. In those years, there was a price and customer war between ENRI and TOMPLA, which TOMPLA itself describes, incompatible with the existence of a cartel, a war that the DI interprets as mere disagreements.</w:t>
      </w:r>
    </w:p>
    <w:p>
      <w:r>
        <w:t>Finally, ENRI requests from the Council the same evidence that it had previously requested from the Directorate of Investigation and which was denied by them, specifically: to ask UNIPAPEL to indicate whether, in its understanding, the agreements adopted within the framework of the cartel subject to this file referred to the products marketed under the Oxford brand and the fantasy products, and to ask TOMPLA to indicate from which year it began to market paper processing products with a weight of 90.</w:t>
      </w:r>
    </w:p>
    <w:p>
      <w:r>
        <w:t>HOLDHAM</w:t>
      </w:r>
    </w:p>
    <w:p>
      <w:r>
        <w:t>Presents a unique allegation regarding the absence of responsibility of HOLDHAM in the behaviors described in the PCH and the PR, arguing that at no time does the DI refer to which facts or specific documentation it is referring to when establishing HOLDHAM's responsibility in them, and that later the DI radically changes its position and justifies the attribution exclusively based on an automatic attribution of responsibility of the parent company for the behaviors of its subsidiary simply because the former controls the latter. ENRI is controlled by HOLDHAM in the sense of Article 7.2 of the LDC but its economic behavior is not determined by its parent company in the sense of Article 61.2 of the LDC, which is relevant when attributing or not attributing responsibility to HOLDHAM for the infringement that ENRI may have committed.</w:t>
      </w:r>
    </w:p>
    <w:p>
      <w:r>
        <w:t>What is relevant is whether HOLDHAM determines the economic behavior of ENRI, and on this, there is not a single reference in either the PCH or the PR, only that there is an automatic presumption of extending the responsibility of the subsidiary to the parent company when the latter controls the former. HOLDHAM argues that while it is aware of the European jurisprudential line, which indicates that in cases where a parent company owns 100% of the shares of a subsidiary, there would exist, within the framework of the application of Articles 101 and 102 of the TFEU, a presumption iuris tantum that this parent company determines the economic behavior of the company it controls and that, therefore, in those cases, the burden falls on the regulated party to provide the competition authority with elements that allow rebutting that presumption. But for the moment, this is not the case for the Spanish Courts, and moreover, the DI seems to forget the recent advances that have occurred in the so-called doctrine of parent-subsidiary responsibility which are undoubtedly particularly relevant to the case at hand. Recently, the General Court of the European Union has annulled some decisions of the Commission (see, for example, Judgment of June 16, 2011, in case T-196/06, Edison SpA v. European Commission) in which the responsibility of parent companies for the behaviors of their subsidiaries was declared, motivated by the fact that the Commission had not presented the reasons that led it to consider that the evidence provided by the affected companies was insufficient to destroy the aforementioned presumption.</w:t>
      </w:r>
    </w:p>
    <w:p>
      <w:r>
        <w:t>In this case, according to HOLDHAM, the competition authority would have overlooked the arguments presented and the evidence provided by the company in question to rebut the presumption of parent-subsidiary responsibility. Firstly, they argue that the strategy of the HAMELIN Group has focused on granting special autonomy to its subsidiaries, as the Group itself has publicly stated. Secondly, they argue that whenever the Group has acquired a company, its identity has been maintained, preserving its corporate name and management structure, in order to ensure that the subsidiary maintains its independence. And finally, that all decisions related to pricing policies, commercial conditions, employee hiring, negotiations with suppliers and customers, and investments in machinery for the manufacture of products, in innovation and development, or in advertising and promotion are functions that are left in the hands of the senior executives of each subsidiary, for which they provide a notarized statement made by the General Director of ENRI in which it is expressly stated that he has full autonomy to make decisions regarding the aforementioned matters. Matters that determine the economic behavior of the company.</w:t>
      </w:r>
    </w:p>
    <w:p>
      <w:r>
        <w:t>Therefore, from all of the above, they deduce that the economic behavior of ENRI is not determined by HOLDHAM and, therefore, that in the present case the circumstance provided for in Article 61.2 of the LDC applies, which prevents extending responsibility to HOLDHAM for the allegedly unlawful conduct of its subsidiary.</w:t>
      </w:r>
    </w:p>
    <w:p>
      <w:r>
        <w:t>Regarding the participation of the President of the HAMELIN Group in the meetings of 1995, they argue that it cannot be considered as evidence of the existence of a determining influence of HOLDHAM on the economic behavior of ENRI for the period 1995-2010, as it is insisted that no agreement was reached in them.</w:t>
      </w:r>
    </w:p>
    <w:p>
      <w:r>
        <w:t>But even in the event that it were considered that such conversations culminated in any agreement, in no case would the participation of the President of the HAMELIN Group in them demonstrate that HOLDHAM determined the economic behavior of ENRI in the period 1995-2010. They argue that "the name of the President of the HAMELIN Group, or any other representative of HOLDHAM, does not appear again in any other meeting or communication among the members of the alleged agreement. That is to say, the documentation in the File refers to the President of the HAMELIN Group exclusively in relation to the three meetings held in 1995. There is not a single subsequent document in the File that refers to him or to another representative of HOLDHAM."</w:t>
      </w:r>
    </w:p>
    <w:p>
      <w:r>
        <w:t>And the statements of TOMPLA regarding the participation of the HAMELIN Group in the described behaviors lack probative value because they are not accompanied by any documentary evidence, and they mention the Judgment of the General Court of the European Union (Third Chamber) of November 30, 2011, in case T-208/06, Quinn Bario Ltd and Others v. European Commission, in which it is expressly stated that the statements of leniency must be analyzed together with the concurrence of other evidentiary elements. According to HOLDHAM, the probative value of the statements of TOMPLA is even lower if, as is the case here, those statements are contradictory to those of the other leniency applicant, UNIPAPEL, since it only considers ENRI responsible for the agreements and that the only contact person mentioned is the General Director of this company.</w:t>
      </w:r>
    </w:p>
    <w:p>
      <w:r>
        <w:t>FOURTH.- On the qualification of the conduct.</w:t>
      </w:r>
    </w:p>
    <w:p>
      <w:r>
        <w:t>Having analyzed the proven facts in the file and having evaluated the allegations that the parties have presented to the proposal raised by the Directorate of Investigation to this Council, it agrees with the instructing body that the three accused have participated in a cartel agreement to divide the Spanish market for paper processing between the years 1995 and 2010, setting, within the same framework of agreement, the minimum prices for basic products and the annual increases that these, and the rest of the related products, should experience. All of this constitutes an infringement of both Article 1 LDC and Article 101 TFEU.</w:t>
      </w:r>
    </w:p>
    <w:p>
      <w:r>
        <w:t>The behaviors, described as a cartel agreement, have been recognized by two of the companies involved in the infringement, in separate statements before the CNC within the framework of the leniency program regulated by Articles 65 and 66 of the LDC. According to the applicant for exemption from the sanction, the conduct would have started in the mid-1990s, and according to the applicant for reduction of the sanction, it would have specifically started in 1995, after the acquisition of the company ENRI by the HOLDHAM Group. It has provided several minutes detailing the meetings held from June to September among the highest executives of the UNIPAPEL, TOMPLA, and HOLDHAM Groups. In them, the proposals, demands, proposals, and common and divergent positions are summarized, typical of the prior debate that can reasonably be presumed to occur among competitors seeking an agreement whereby, disregarding the exercise of free competitive play that should govern their business decisions, they seek to obtain conditions that maximize the individual benefit of each of them, even at the cost of the harm that their agreement causes to the common interest. In them, as the DI well summarizes, is found the beginning of the agreement, an agreement that was preceded by intense discussions, fundamentally based on what moment of the last years should be taken as a basis for the division of the market. The discrepancy was motivated by the fact that in the preceding years the market shares of each had not been stable, as ENRI had been declining, reaching its minimum in 1994, which requires taking the shares of 1995, while others had taken part of that loss of ENRI, and therefore showed in 1994 shares favorable to their interests. In that context, the meeting of September 1995 is reached, in which new conditions for a possible agreement are proposed, and it is concluded that the president of the HOLDHAM Group (ENRI) would study the system of control of tons to see it in a subsequent meeting, and that he would have backed down from what was said in a previous meeting because he wants to have more market. In these meetings, the president of the group was always present on behalf of the HOLDHAM Group, and on some occasions, the General Director of ENRI was also present. In that meeting</w:t>
      </w:r>
    </w:p>
    <w:p>
      <w:r>
        <w:rPr>
          <w:b/>
        </w:rPr>
        <w:t>[Pages 58–60]</w:t>
      </w:r>
    </w:p>
    <w:p>
      <w:r>
        <w:t>the president of HOLDHAM assumes that an agreement would have been reached in the previous meeting on August 28 and that the other two only partially complied with it, which shows his distrust in establishing an agreement for 1996. The others explain to him that there has been no such non-compliance, but rather that the terms were not exactly as he interprets them and that it was exceptionally not possible to apply them to certain clients. The president offers a specific agreement for some clients and prices. In contrast, TOMPLA estimates that compliance would have been 90%. All of this can only be interpreted as the existence of an agreement among the three, without implying that it could not be subject to changes, as revealed by the minutes of the meetings.</w:t>
      </w:r>
    </w:p>
    <w:p>
      <w:r>
        <w:t>The allegation made by ENRI that in the minutes of the September 1995 meeting TOMPLA would have recorded that HAMELIN (ENRI) does not want agreements cannot be accepted, as that statement must be read not in isolation, as the party intends, but in the context not only of the meeting but of the conclusions section in which that phrase is framed, and it can also be read that this section begins with "it was agreed that [HAMELIN] would study the system of control of tons and that we would see it in the next meeting (...) it seems that he wants to have more market and therefore does not want agreements."</w:t>
      </w:r>
    </w:p>
    <w:p>
      <w:r>
        <w:t>From the same minutes and the statements of leniency, it is revealed that the agreement was based on maintaining mutual respect for the large clients, mostly clients of large distribution, and the establishment of minimum prices for a set of basic products, which were increased annually and generally before the operation known as Back to School, and that these increases were applied to the rest of the numerous references related to what is called paper processing. The annual increases were generally discussed by phone, so there were hardly any face-to-face meetings, except for those held among the three regarding the sectoral meetings that their association, ASSOMA, convened for the association's own purposes.</w:t>
      </w:r>
    </w:p>
    <w:p>
      <w:r>
        <w:t>In this way, the agreements of 1995 would have been maintained over time according to the statements of the two applicants for the leniency program, and according to the evidence provided by TOMPLA that reveals a significant traffic of phone calls between the senior executives of the companies involved, concentrated especially at the times of price fixing, prior to the main marketing campaigns.</w:t>
      </w:r>
    </w:p>
    <w:p>
      <w:r>
        <w:t>In addition to the statements, there is contemporaneous documentary evidence that in 1997 there was a bilateral meeting between UNIPAPEL and TOMPLA, provided by TOMPLA in its statements within the leniency program, in which the climate of collaboration existing between them is revealed, while also referencing a specific non-compliance by ENRI regarding a UNIPAPEL client that ENRI would not have respected. And contrary to what the HOLDHAM Group alleges that there would have been no further documentary evidence in the file between 1995 and 2002, it should be reminded that having had access to the file, it knows the minutes presented by TOMPLA of a bilateral meeting between TOMPLA and the president of the then HAMELIN Group, currently HOLDHAM Group, in which it is evident that UNIPAPEL would have taken from HAMELIN in France the same client that it had taken from it in Spain in 1997 (f 1875-1877). These disagreements, as reported in the minutes of a 2002 meeting between TOMPLA and UNIPAPEL, would have disappeared years ago, as the agreement between them was total and allowed both to make money.</w:t>
      </w:r>
    </w:p>
    <w:p>
      <w:r>
        <w:t>In the opinion of this Council, these facts, along with the coincidence in the statements of the two leniency applicants before the CNC, prove the formation and existence of the cartel, and the non-compliances that have been reported are merely evidence of the validity of the agreement at that time. There can be no other rational explanation for the very fact that these specific events are mentioned if the norm among them were competition, as the logical consequence would be frequent episodes of customer movements among them, and not anecdotal as derived from these mentions.</w:t>
      </w:r>
    </w:p>
    <w:p>
      <w:r>
        <w:t>These agreements continued from 1995 to the present, as both leniency applicants have stated and as corroborated by the documentary evidence provided by them, the evidence found in the inspections carried out by the DI at the offices of ENRI and TOMPLA, and the responses of significant clients to the requests made in the context of the investigation of this file.</w:t>
      </w:r>
    </w:p>
    <w:p>
      <w:r>
        <w:t>In the inspections, cross-price lists between competitors and emails in which price lists were sent to each other have been located, as well as meeting invitations among them. Clients have mostly responded that their suppliers were stable until 2011, at which point they changed suppliers mainly due to the attractive offers received after 2010, the year in which the inspection took place. The suppliers declared by the clients match the distribution list that both leniency applicants had provided along with their statements.</w:t>
      </w:r>
    </w:p>
    <w:p>
      <w:r>
        <w:t>From all the above, it can only be concluded that there has been an agreement for market sharing and minimum price fixing among the paper processing companies of the UNIPAPEL, TOMPLA, and HOLDHAM Groups (formerly HAMELIN), without the specific non-compliances, such as those also evidenced by the facts contained in the file, being able to be valued as interruptions of the cartel as the HOLDHAM Group intends in the allegations presented on behalf of ENRI. It is a unique and continuous conduct that began in 1995 and has been maintained until at least October 2011, when UNIPAPEL submitted its leniency application. The duration has not been based solely on the coinciding statements of the two leniency applicants, as contrary to what ENRI alleges, there is documentary evidence that demonstrates the maintenance of the 1995 agreements until 2002, as shown by the minutes of the bilateral meetings of 1997 and 1999 detailed previously. And regarding the CNC's background that the maximum periods without documentary evidence considered by the CNC as admissible to prove the continuity of an infringement are 23 months, it must be said that the accreditation or not of the continuity of a conduct will be determined by the set of facts that occur in each case, without there being, because there is no reason for it, a specific number of months or years from which it must be concluded that there is no accreditation. But in this case, the times mentioned by ENRI are not even exceeded, with the important added particularity that in none of those mentioned by him were there two coinciding leniency statements regarding the duration and continuity of the conduct, as is the case here.</w:t>
      </w:r>
    </w:p>
    <w:p>
      <w:r>
        <w:t>Nor can his allegation regarding TOMPLA's interests motivating that statement be accepted, as even if that were true, the Council, following community jurisprudence, must assess, as it has done, not only that the second statement corroborates what was stated in the first, but that their statements have been accompanied by contemporaneous documentary evidence of what was being declared, which would grant a presumption of veracity to those other statements of the same leniency applicant even if they did not present the same documentary corroboration. In this regard, the most recent judgment of the TG of June 5, 2012 (case T-214/06, Imperial Chemical Industries Ltd. / Commission) should be cited:</w:t>
      </w:r>
    </w:p>
    <w:p>
      <w:r>
        <w:t>"58 Regarding the applicant's allegations about the value of the statements made in the context of the requests submitted under the Communication on cooperation, it should be recalled that, according to consistent jurisprudence, no provision or general principle of European Union law prohibits the Commission from invoking against a company statements from other implicated companies (judgment of the Court of April 20, 1999, Limburgse Vinyl Maatschappij and others/Commission, T-305/94 to T-307/94, T-313/94 to T-316/94, T-318/94, T-325/94, T-328/94, T-329/94 and T-335/94, Rec. p. II-931, paragraph 512). Therefore, the statements made in the context of the Communication on cooperation cannot be considered devoid of probative value for this sole reason (Lafarge/Commission judgment, cited in paragraph 53 above, paragraphs 57 and 58).</w:t>
      </w:r>
    </w:p>
    <w:p>
      <w:r>
        <w:t>59 A certain distrust regarding the voluntary statements of the main participants in an illegal cartel is understandable, as these participants could minimize the importance of their contribution to the infringement and maximize that of others. However, given the inherent logic of the procedure provided for by the Communication on cooperation, the fact of requesting the benefit of its application to obtain a reduction in the amount of the fine does not necessarily create an incentive to present distorted evidence regarding the other participants in the investigated cartel. Indeed, any attempt to mislead the Commission could call into question the sincerity and completeness of the company's cooperation and, therefore, jeopardize the possibility of it fully benefiting from the Communication on cooperation (judgments of the Court of November 16, 2006, Organic Peroxides/Commission, T-120/04, Rec. p. II-4441, paragraph 70, and Lafarge/Commission, cited in paragraph 53 above, paragraph 58).</w:t>
      </w:r>
    </w:p>
    <w:p>
      <w:r>
        <w:t>60 In particular, it should be considered that the fact that a person confesses to having committed an infringement and thus acknowledges the existence of facts that exceed what could be directly deduced from those documents implies a priori, unless special circumstances indicate otherwise, that such</w:t>
      </w:r>
    </w:p>
    <w:p>
      <w:r>
        <w:rPr>
          <w:b/>
        </w:rPr>
        <w:t>[Pages 61–63]</w:t>
      </w:r>
    </w:p>
    <w:p>
      <w:r>
        <w:t>it should be considered that the fact that a person confesses to having committed an infringement and thus acknowledges the existence of facts that go beyond what could be directly deduced from such documents implies a priori, unless there are special circumstances indicating otherwise, that such a person has resolved to tell the truth. In this way, statements contrary to the interests of the declarant must be considered, in principle, as particularly reliable evidence (judgments of the Court JFE Engineering and others/Commission, cited in paragraph 54 above, paragraphs 211 and 212; of April 26, 2007, Bolloré and others/Commission, T‑109/02, T‑118/02, T‑122/02, T‑125/02, T‑126/02, T‑128/02, T‑129/02, T‑132/02 and T‑136/02, Rec. p. II‑947, paragraph 166, and Lafarge/Commission, cited in paragraph 53 above, paragraph 59).</w:t>
      </w:r>
    </w:p>
    <w:p>
      <w:r>
        <w:t>However, it is established jurisprudence that the statement of a company accused of having participated in a collusive practice, the accuracy of which is questioned by several accused companies, does not constitute sufficient evidence of the existence of an infringement committed by these latter companies if it is not supported by other evidentiary elements (judgments of the Court JFE Engineering and others/Commission, cited in paragraph 54 above, paragraph 219; of October 25, 2005, Groupe Danone/Commission, T‑38/02, Rec. p. II‑4407, paragraph 285, and Lafarge/Commission, cited in paragraph 53 above, paragraph 293).</w:t>
      </w:r>
    </w:p>
    <w:p>
      <w:r>
        <w:t>(…)</w:t>
      </w:r>
    </w:p>
    <w:p>
      <w:r>
        <w:t>In this regard, it should be recalled that, as a result of the jurisprudence cited in paragraphs 58 to 60 above, statements made within the framework of the leniency policy play an important role. These statements made on behalf of companies carry significant evidentiary value, as they involve considerable legal and economic risks (see also the judgment of the Court of March 24, 2011, Aalberts Industries and others/Commission, T‑385/06, Rec. p. II‑0000, paragraph 47). However, from the jurisprudence cited in paragraphs 59 and 61 above, it is also inferred that statements made by accused companies within the framework of requests made under the Communication on cooperation must be assessed with caution and, when called into question, generally cannot be considered sufficiently evidentiary without being corroborated.</w:t>
      </w:r>
    </w:p>
    <w:p>
      <w:r>
        <w:t>Finally, once the existence of this infringement has been assessed, its scope must be delineated concerning the products affected by this agreement. The statements of the leniency applicants and the catalogs found during inspections reveal that the references that exist within paper processing are numerous, considering the sheet size, the number of sheets, their thickness or weight, the way they are grouped, their quality, the material of the covers, or the purpose of the final product, so the agreement consisted of establishing a minimum price for a series of product categories within notebooks, refills, pads, and reams (folios), which served as a reference for the rest of the related products. On these basic products, annual increases were subsequently decided, increases that were applied similarly to other products. ENRI argues that certain products such as the series marketed under the name Oxford and other novelty products, which usually incorporate illustrations related to animated characters or current themes, were not part of the agreements. It argues convincingly that these are very different products from those subject to the cartel, primarily because they belong to a higher quality that implies differentiated demand and specific distribution channels. It provides economic studies that would support its arguments, from which it can be inferred that there is a willingness to pay a higher price for these products, that they are marketed in the stationery circuit and specialty stores for office supplies, even to a certain differentiation of demand from a geographical perspective related to the income of certain regions. The consequence that, according to the party, should be drawn from these studies is that it cannot be accepted that these products, which do not compete with the basic products and are only manufactured by ENRI, formed part of the analyzed cartel. ENRI also adds that there is no express evidence that the Oxford products were part of the minimum price agreements, because in fact they were not included, and that the evidence referred to by ENRI must be read in the context of a supplier-customer relationship, and not among competitors.</w:t>
      </w:r>
    </w:p>
    <w:p>
      <w:r>
        <w:t>The Council does not question that the products in the Oxford category and novelty products can, from the demand perspective, be considered higher quality products than the stationery products marketed under the distributor brand or even those marketed with a manufacturer brand but of inferior quality, which does not mean that for the purposes of assessing the scope of the infringement these products, or rather their commercial sales conditions, have not been affected by the conduct. Although they are products with differentiated demand, primarily due to quality, they are products that belong to the same market considering both their utility and marketing circuits. And although ENRI rightly argues that they are predominantly distributed through small stationery stores rather than through large distribution, both in one channel and the other, products from both ranges can be found, despite a certain specialization by channels. Given that both serve the same purpose, and taking into account the aforementioned regarding their commercialization, the prices of one determine the price level of the other, so that if the prices of the basic products are set at a higher level than they would correspond to in the absence of the agreement, the prices of the Oxford and novelty products may also be set at a higher level, as long as the relative prices of both are kept constant. Therefore, ENRI's alleged claim that these products should be excluded from the scope of the infringement cannot be accepted, no matter how much they are products with differential elements.</w:t>
      </w:r>
    </w:p>
    <w:p>
      <w:r>
        <w:t>Moreover, contrary to what ENRI claims, there is express evidence in the file that proves that the aforementioned higher quality products were treated in the same way as the basic products among the companies participating in the cartel, and that therefore they were included in the cartel agreements. The meeting of January 29, 2009, evidenced in the file, given its express content and the participants in it, cannot be interpreted as ENRI intends as a meeting between supplier and customer, as it would not have been a "private conversation" as it claims, since TOMPLA was also present, according to UNIPAPEL, and what the notes reveal is not a price of Oxford from a supplier to a customer, as the notes refer to the fact that for the GGSS (understood as large surfaces) the price of Oxford will increase by 5%, compared to the private label products which would increase by 3.4-4%. There are no references in those notes, as ENRI claims, to "the price forecasts it handled for that year," but references to Carrefour, Eroski,… along with percentage increases that PACSA, UNI, ENRI,… would apply. This shows that this higher quality category is not only marketed in small stationery stores but also in large surfaces, and that it would admit price increases higher than those that the distributor brand products would admit and that therefore, these products were also affected by the agreement.</w:t>
      </w:r>
    </w:p>
    <w:p>
      <w:r>
        <w:t>Consequently, based on this reasoning, the Council has not appreciated that the carrying out of the evidence requested before the DI -denied by it, and reiterated before the Council-, given that all products belong to the same market, could refute either the facts that expressly place the Oxford brand in the object of a cartel meeting in January 2009, in which a specific increase for large surfaces is discussed, or that the price level of these Oxford and novelty products was affected by the price level of the more basic products, and therefore all must be included in the turnover of the market affected by the infringement.</w:t>
      </w:r>
    </w:p>
    <w:p>
      <w:r>
        <w:t>FIFTH.- On the determination of responsibilities</w:t>
      </w:r>
    </w:p>
    <w:p>
      <w:r>
        <w:t>The Council agrees with the Directorate of Investigation that the responsibility for the cartel agreements evidenced in this file lies with PACSA, ENRI, and UNIPAPEL, subsidiaries of the TOMPLA, HAMELIN, and UNIPAPEL groups respectively, and that this responsibility also extends jointly to their parent companies. They are responsible for having agreed to respect their main clients between 1995 and at least October 2011, having set minimum offer prices for their products and the successive annual increases since then. In short, they are responsible for conduct that infringes both Article 1 LDC and Article 101 TFEU.</w:t>
      </w:r>
    </w:p>
    <w:p>
      <w:r>
        <w:t>UNIPAPEL and TOMPLA share the accusations made by the Directorate of Investigation in the PCH and in the Proposal for Resolution submitted to this Council. Not so HOLDHAM, which claims that the DI has not proven its responsibility, but rather that it is imputed based on the doctrine of parent-subsidiary liability, which assumes that with 100% ownership of subsidiaries, the parents determine the economic behavior of their subsidiaries, unless they refute this presumption, ignoring the most recent judgment of the TG in which a Decision of the European Commission was revoked for not having taken into account the allegations presented that supposedly refuted such presumption. In the case at hand, it considers that the allegations presented to the PCH, in this sense, have not been answered by the DI, reiterating them again before the Council. It also argues that the presence of the president of the HAMELIN group in the meetings of 1995 is not sufficient to prove a determining influence of HOLDHAM on the economic behavior of ENRI.</w:t>
      </w:r>
    </w:p>
    <w:p>
      <w:r>
        <w:rPr>
          <w:b/>
        </w:rPr>
        <w:t>[Pages 64–66]</w:t>
      </w:r>
    </w:p>
    <w:p>
      <w:r>
        <w:t>the Council agrees with the DI that the presence of the president of the HAMELIN Group at the meetings regarding the agreements for products marketed by ENRI is a strong presumption that the economic behavior of ENRI, which is 100% the parent company of the group, is determined by him. The presence of this same figure is not only noted in the meetings of 1995, as alleged, but also in the one in 1999 with TOMPLA. In the Council's opinion, these facts, along with the existing jurisprudence on parent-subsidiary liability, are sufficient to support the attribution of responsibilities made by the DI in the PCH, as there are also specific elements in this case beyond the mere existence of ENRI being a 100% subsidiary of HOLDHAM. However, following the same doctrine, such presumption could be rebutted by the parties, without it becoming, as HOLDHAM intends, an irrefutable presumption, as established by jurisprudence (Judgments of the TG of September 27, 2012 (T-348/06) and July 13, 2011 (joined cases T-141, 142, 145, and 146/2007), and Judgment of the CJEU of September 10, 2009 (case C-97/08, resolving an appeal regarding case T-112/05).</w:t>
      </w:r>
    </w:p>
    <w:p>
      <w:r>
        <w:t>To this end, HOLDHAM argues that the strategy of the HAMELIN Group has focused on granting special autonomy to its subsidiaries, as the Group itself has publicly stated; that it is common practice to maintain the identity, corporate name, and management structure of the acquired companies, and that all decisions regarding pricing policies, commercial conditions, employee hiring, negotiations with suppliers and customers, and investments in production or innovation and development are left in the hands of the senior executives of each subsidiary. In this regard, a notarized document is provided in which the General Director of ENRI states that he indeed has that autonomy in his decision-making.</w:t>
      </w:r>
    </w:p>
    <w:p>
      <w:r>
        <w:t>In short, HOLDHAM seeks to refute the attribution made, both based on doctrine and on other facts established in the file, through a statement that can only be valued as a party statement, and through a series of attitudes taken in the past regarding the acquired companies under which both the alleged independence of economic behavior that HOLDHAM claims and its absence could be considered, given that the determination of the economic behavior of its acquisitions is not incompatible with maintaining either their corporate name, their management teams, or their declarations of independence. Moreover, there is evidence in the file to the contrary. Ultimately, the fact that a subsidiary has certain internal organizational autonomy should not be interpreted as meaning that its commercial policy is not subordinate to the control of its parent company, as established by doctrine.</w:t>
      </w:r>
    </w:p>
    <w:p>
      <w:r>
        <w:t>From the content of the meetings of 1995, it can only be assessed that it was the president of the HAMELIN Group who raised the requirements of the agreement for ENRI, and not its General Director, who was not always present at the meetings. And from those same meetings, it is evidenced that the decision of whether only paper processing products or also other types of products would be manufactured at the factory acquired in Spain was not a decision of the General Director of ENRI, but of the president of the HAMELIN Group, a decision that was conditioned on the type of agreement reached regarding paper processing. The president explicitly stated in those meetings that the group had the capacity to act on both types of products depending on the different agreements reached with the cartel members, undoubtedly revealing his ability to determine the economic behavior of his subsidiaries.</w:t>
      </w:r>
    </w:p>
    <w:p>
      <w:r>
        <w:t>Therefore, in light of all these facts, and without HOLDHAM having presented serious evidence that it does not determine the economic behavior of its subsidiaries, beyond referring to public statements whose content is perfectly compatible with having decisive influence on the economic behavior of its subsidiaries, specifically ENRI, this Council cannot accept the allegations presented by HOLDHAM.</w:t>
      </w:r>
    </w:p>
    <w:p>
      <w:r>
        <w:t>SIXTH.- On the calculation of the sanction</w:t>
      </w:r>
    </w:p>
    <w:p>
      <w:r>
        <w:t>Having determined the existence of an infringement of Article 1 LDC and 101 TFEU, it falls within the provisions of Article 62.4.a) of the LDC, which establishes that behaviors consisting of cartels or other agreements, decisions, or collective recommendations, concerted practices or consciously parallel practices among competing companies, whether real or potential, shall be classified as very serious infringements.</w:t>
      </w:r>
    </w:p>
    <w:p>
      <w:r>
        <w:t>Since this type of infringement warrants an economic sanction, the calculation must adhere to the regulations contained in Articles 61 to 64 of the LDC, which establish the fundamental criteria to be considered when determining such amount, criteria that have been the basis established in the "CNC Communication on the quantification of sanctions arising from infringements of Articles 1, 2, and 3 of Law 15/2007, of July 3, on the Defense of Competition and Articles 81 and 82 of the Treaty of the European Community," published in the B.O.E of February 11, 2009.</w:t>
      </w:r>
    </w:p>
    <w:p>
      <w:r>
        <w:t>And entering into the specific calculation of the sanction, the criteria of Article 64 of the LDC, namely: a) The size and characteristics of the market affected by the infringement; b) The market share of the responsible company or companies; c) The scope of the infringement; d) The duration of the infringement; e) The effect of the infringement on the rights and legitimate interests of consumers and users or on other economic operators; f) The illicit benefits obtained as a result of the infringement; and g) the aggravating and mitigating circumstances that occur in relation to each of the responsible companies, have been included in the calculation of the sanction contemplated in the Communication to achieve compliance with the principles of proportionality and deterrence that are expected from them and that the Supreme Court has recalled in numerous judgments (among others, of November 24, 1987, October 23, 1989, May 14, 1990, and July 15, 2002) that must be fulfilled.</w:t>
      </w:r>
    </w:p>
    <w:p>
      <w:r>
        <w:t>Following the principle of transparency that has been intended for the sanctioning work of the CNC, and in accordance with paragraph (10) of the Communication, "The volume of sales affected by the infringement will be the weighted sum of the sales obtained by the infringer in the product or service and geographic markets where the infringement has produced or is likely to produce effects, during the time that the infringement has taken place and before the application of VAT and other related taxes. The sales of each period will be weighted according to what is provided in point (15)."</w:t>
      </w:r>
    </w:p>
    <w:p>
      <w:r>
        <w:t>As argued in the fourth legal basis of this resolution, and even against what ENRI has alleged, it is considered that the scope affected by the infringement encompasses the products included in the designation "paper processing," and on this concept, the parties have been requested to provide the turnover that corresponds to them during the time of the infringement.</w:t>
      </w:r>
    </w:p>
    <w:p>
      <w:r>
        <w:t>Given that the infringement would have begun in the second half of 1995, for the calculation of the sanction it is necessary to have the turnover figures in the paper processing market for each of the years of the infringement from 1995 to 2010. The parties have provided information on the turnover for the years of infringement that they had available, not always since 1995. To estimate the turnover for the years not available within the time frame of the infringement, the arithmetic mean has been calculated respectively, taking into account the available information. This arithmetic mean is what has been assigned to the years of infringement for which turnover was not available because it had not been provided. Likewise, for the years 1995 and 2010, years in which the infringement would not have covered the entire calendar year, it has been prorated considering only the months that affect the infringement. On these turnover figures, the corresponding temporal coefficients established by the communication in its paragraph (15) have been applied.</w:t>
      </w:r>
    </w:p>
    <w:p>
      <w:r>
        <w:t>Given the nature of the infringement, very serious; its scope, practically covering the entire national market; the absence of alternatives for demand, as they are the only suppliers with capacity in this market; and the type of product, primarily applied in schools and by students, the rate to be applied, according to paragraph (14) of the Communication, should not be set below 10%.</w:t>
      </w:r>
    </w:p>
    <w:p>
      <w:r>
        <w:t>Applying these criteria, the basic amount of the sanctions to be applied would be:</w:t>
        <w:br/>
        <w:t>Company Basic Amount (€)</w:t>
        <w:br/>
        <w:t>UNIPAPEL 3,539,625</w:t>
        <w:br/>
        <w:t>TOMPLA 1,324,440</w:t>
        <w:br/>
        <w:t>ENRI/HOLDAM 4,207,881</w:t>
      </w:r>
    </w:p>
    <w:p>
      <w:r>
        <w:t>However, before resolving the imposition of this sanction, the Council must observe compliance with Article 63.1.c) of the LDC, which establishes that very serious infringements may be sanctioned with a fine of up to 10% of the total turnover of the infringing company in the fiscal year immediately preceding the imposition of the fine. Taking into account the total turnover of the business groups to which the three infringing companies belong,</w:t>
      </w:r>
    </w:p>
    <w:p>
      <w:r>
        <w:rPr>
          <w:b/>
        </w:rPr>
        <w:t>[Pages 67–69]</w:t>
      </w:r>
    </w:p>
    <w:p>
      <w:r>
        <w:t>none of these sanctions exceed the respective 10% of the aforementioned article. Neither the Directorate of Investigation nor the Council has found that there are mitigating or aggravating circumstances.</w:t>
      </w:r>
    </w:p>
    <w:p>
      <w:r>
        <w:t>SEVENTH.- On the application of the Leniency Program</w:t>
      </w:r>
    </w:p>
    <w:p>
      <w:r>
        <w:t>The DI proposes that UNIPAPEL TRANSFORMACIÓN Y DISTRIBUCIÓN, S.A. and its parent company UNIPAPEL, S.A. (now ADVEO) be exempted from the payment of the fine, in accordance with the conditional exemption granted by the DI, pursuant to Article 65.1.a) of the LDC and Article 47.1 of the RDC. It argues that it was the first company to provide evidence that allowed for the ordering of an inspection in accordance with the provisions of Article 65.1 of the LDC. Furthermore, it has complied with each and every requirement set forth in Article 65.2 of the LDC, as it would have cooperated fully, continuously, and diligently with the DI; it would have ceased its participation in the alleged infringement prior to the request for exemption from the payment of the fine; it has not destroyed evidence related to the exemption request nor has it disclosed to third parties other than the CNC its intention to submit the exemption request or its content; and although it may have played a prominent role in the agreements, at no time did it take any measures to compel other companies to participate in the infringement pursued in this proceeding.</w:t>
      </w:r>
    </w:p>
    <w:p>
      <w:r>
        <w:t>Not finding that there are other elements distinct from those expressed by the Directorate of Investigation, the same that have been reiterated by the party in its allegations, the Council considers that UNIPAPEL S.A. (now ADVEO) and its parent company should be exempted from the payment of the fine corresponding to them in accordance with Article 65 of the LDC.</w:t>
      </w:r>
    </w:p>
    <w:p>
      <w:r>
        <w:t>Regarding TOMPLA, given that the information provided by this leniency applicant has significant added value and has allowed the duration of the infringement to be extended by seven more years, the Directorate of Investigation proposes that the corresponding sanction be reduced by an amount ranging from 30% to 50%, and that the turnover generated in the years 1995 to 2001 not be taken into account, as it is a period in which the accreditation of the infringement has been due to the information and statements of TOMPLA. However, it also states that it should be taken into account that a large part of the evidence provided by the TOMPLA Group was provided once clarifications were requested by this DI. It also considers that it meets the requirements mentioned in Article 65 of the LDC.</w:t>
      </w:r>
    </w:p>
    <w:p>
      <w:r>
        <w:t>TOMPLA argues that, as proposed by the DI, the turnover from 1995 to 2002 should not be computed in the calculation of the infringement, that the information provided has been of a high degree of added value, that the fact that part of this high added value has been in response to the clarifications of the DI should not affect the assessment of the evidentiary capacity of the evidence provided, and that given that there is another sanctioning file in the Council where TOMPLA is implicated, the 10% limit on the turnover in the previous year should be computed taking into account both infringements.</w:t>
      </w:r>
    </w:p>
    <w:p>
      <w:r>
        <w:t>In light of the information in the file and the proposal of the DI, the Council considers that the amount of the fine corresponding to the additional years that the accreditation of the conduct has been extended, beyond 2002, will not be taken into account, in application of Article 66.3 of the LDC, without prejudice to the limits set by Article 66.2.a) of the LDC.</w:t>
      </w:r>
    </w:p>
    <w:p>
      <w:r>
        <w:t>Regarding the specific reduction proposed, the Council does not agree with TOMPLA that the extension of the duration of the conduct, which may make it deserving of a partial exemption, as it has been, justifies that the maximum possible reduction, 50%, be automatically granted. As has just been stated, this extension has already been considered for the purposes of applying the provisions of Article 66.3 of the LDC. Therefore, for the determination of the amount of the reduction provided for in Article 66.2.a) of the LDC, the added value of the evidence provided by TOMPLA and when it was provided must be taken into account.</w:t>
      </w:r>
    </w:p>
    <w:p>
      <w:r>
        <w:t>Regarding the value of TOMPLA's statements and the contemporaneous documents provided, these have served to corroborate parts of the first leniency statement that were basically supported solely by the statement itself, especially between the years 2002 to 2005, with which the Council certainly agrees with the DI that there is significant added value in them. However, this added value should be classified as moderate, both due to the quantity and quality of the evidence provided by TOMPLA compared to what was already in the possession of the DI, and due to the timing of its submission, since even recognizing that leniency requests could be submitted even after the issuance of the PCH (Article 50.3 of the RDC), this was submitted more than a year after the first request, after the inspection at its own premises and after the DI had made various requests for information. In this sense, the timing of the submission of the statements can condition their added value, given that the sooner they are provided, the sooner the competition authority can conclude its work, clearly benefiting the general interest, and the later they are submitted, the more likely it is that the competition authority may have, either through requests for information or inspections, a greater number of evidence or indications, to the detriment of the evidentiary value of late statements. The CE Communication regarding the waiver of the payment of fines and the reduction of their amount in cartel cases also establishes in its paragraph 26 that when setting the percentage of reduction, the date on which the evidence was communicated will be taken into account. For all these reasons, it is considered appropriate to apply a reduction of 35%, which places the level of the sanction on TOMPLA at €860,886 (Eight hundred sixty thousand eight hundred eighty-six Euros).</w:t>
      </w:r>
    </w:p>
    <w:p>
      <w:r>
        <w:t>And regarding what has been alleged about how to calculate the 10% of the total turnover of the previous year, within the framework of this file, this Council must only comply with the limit of Article 63.1.a) regarding the sanction that is now imposed, that is, that the final sanction does not exceed that 10%.</w:t>
      </w:r>
    </w:p>
    <w:p>
      <w:r>
        <w:t>Based on the above, the Council, in the composition stated at the beginning, having seen the cited provisions and the others of general application,</w:t>
      </w:r>
    </w:p>
    <w:p>
      <w:r>
        <w:t>HAS RESOLVED</w:t>
      </w:r>
    </w:p>
    <w:p>
      <w:r>
        <w:t>FIRST. To declare that in this file an infringement of Article 1 of the Competition Defense Law and Article 101 of the TFEU has been established, for which ENRI 2000, S.L., and jointly liable its parent company HOLDHAM, S.A.; PACSA, PAPELERA DEL CARRIÓN, S.L., and jointly liable its parent company MANUFACTURAS TOMPLA, S.A.; and UNIPAPEL TRANSFORMACIÓN Y DISTRIBUCIÓN, S.A. and jointly liable its parent company UNIPAPEL, S.A. (Currently ADVEO GROUP INTERNATIONAL, S.A.) are responsible, consisting of collusive conduct of price fixing and market sharing that must be classified as a cartel of companies.</w:t>
      </w:r>
    </w:p>
    <w:p>
      <w:r>
        <w:t>SECOND. To impose on the companies as authors of the infringing conduct the following sanctioning fines:</w:t>
        <w:br/>
        <w:t>- To UNIPAPEL TRANSFORMACIÓN Y DISTRIBUCIÓN, S.A. and jointly liable to its parent company UNIPAPEL, S.A. (Currently ADVEO GROUP INTERNATIONAL, S.A.) €3,539,625 (Three million five hundred thirty-nine thousand six hundred twenty-five Euros).</w:t>
        <w:br/>
        <w:t>- To PACSA, PAPELERA DEL CARRIÓN, S.L., and jointly liable to its parent company MANUFACTURAS TOMPLA, S.A., €1,324,440 (One million three hundred twenty-four thousand four hundred forty Euros).</w:t>
        <w:br/>
        <w:t>- To ENRI 2000, S.L., and jointly liable to its parent company HOLDHAM, S.A. €4,207,881 (Four million two hundred seven thousand eight hundred eighty-one Euros).</w:t>
      </w:r>
    </w:p>
    <w:p>
      <w:r>
        <w:t>THIRD. To declare that the group of UNIPAPEL, S.A. (Currently ADVEO GROUP INTERNATIONAL, S.A.) and UNIPAPEL TRANSFORMACIÓN Y DISTRIBUCIÓN, S.A. meets the requirements set forth in Article 65 of the LDC and, consequently, to exempt it from the payment of the fine that this Council could have imposed on it.</w:t>
      </w:r>
    </w:p>
    <w:p>
      <w:r>
        <w:t>FOURTH. To declare that the group of PACSA, PAPELERA DEL CARRIÓN, S.L. and MANUFACTURAS TOMPLA, S.A. meets the requirements of Article 66 LDC and, consequently, to apply a reduction of 35% of the amount of the fine, so that the fine corresponding to it is €860,886 (Eight hundred sixty thousand eight hundred eighty-six Euros).</w:t>
      </w:r>
    </w:p>
    <w:p>
      <w:r>
        <w:t>FIFTH. To urge the Directorate of Investigation to monitor the full compliance with this Resolution.</w:t>
      </w:r>
    </w:p>
    <w:p>
      <w:r>
        <w:t>Communicate this Resolution to the Directorate of Investigation of the National Competition Commission and notify the interested parties, letting them know that</w:t>
      </w:r>
    </w:p>
    <w:p>
      <w:r>
        <w:rPr>
          <w:b/>
        </w:rPr>
        <w:t>[Pages 70–71]</w:t>
      </w:r>
    </w:p>
    <w:p>
      <w:r>
        <w:t>against it, there is no administrative appeal available, and a contentious-administrative appeal may be filed with the National Court within two months from its notification.</w:t>
      </w:r>
    </w:p>
    <w:p>
      <w:r>
        <w:t>ANNEX I. ATTENDING EXECUTIVES AT THE MEETINGS</w:t>
        <w:br/>
        <w:t>- Mr. […] (CEO of the UNIPAPEL Group and President since 2008)</w:t>
        <w:br/>
        <w:t>- Mr. […] (President of the UNIPAPEL Group)</w:t>
        <w:br/>
        <w:t>- Mr. […] (General Director of UNIPAPEL)</w:t>
        <w:br/>
        <w:t>UNIPAPEL GROUP</w:t>
        <w:br/>
        <w:t>- Mr. […] (Deputy General Director of UNIPAPEL, from 2000 to 2001)</w:t>
        <w:br/>
        <w:t>- Mr. […] (Commercial Director of UNIPAPEL, from 1997 to 2000)</w:t>
        <w:br/>
        <w:t>- Mr. […] (Commercial Director of UNIPAPEL, from 2000 to 2002 and General Director of Distribution from 2002 to 2011)</w:t>
        <w:br/>
        <w:t>- Mr. […] (General Director of Transformation from 2002 to 2007)</w:t>
        <w:br/>
        <w:t>- Mr. […] (President of the Hamelin Group)</w:t>
        <w:br/>
        <w:t>HAMELIN GROUP</w:t>
        <w:br/>
        <w:t>- Mr. […] (General Director of ENRI)</w:t>
        <w:br/>
        <w:t>- Mr. […] (President of the TOMPLA Group)</w:t>
        <w:br/>
        <w:t>- Mr. […] (former CEO of the TOMPLA Group)</w:t>
        <w:br/>
        <w:t>- Mr. […] (Commercial Director from 1979 to 1997 and General Director of the TOMPLA Group from 1998 to 2005)</w:t>
        <w:br/>
        <w:t>TOMPLA GROUP</w:t>
        <w:br/>
        <w:t>- Mr. […] (General Director of PACSA until 1998)</w:t>
        <w:br/>
        <w:t>- Mr. […] (General Director of PACSA from 1999 to 2010)</w:t>
        <w:br/>
        <w:t>- Mr. […] (Commercial Director of PACSA from 1995 to 2009 and currently General Director of PACSA)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