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https://www.cnmc.es/expedientes/s034811</w:t>
      </w:r>
    </w:p>
    <w:p>
      <w:r>
        <w:t>Pages translated : 14</w:t>
      </w:r>
    </w:p>
    <w:p/>
    <w:p>
      <w:r>
        <w:rPr>
          <w:b/>
        </w:rPr>
        <w:t>[Pages 1–3]</w:t>
      </w:r>
    </w:p>
    <w:p>
      <w:r>
        <w:t xml:space="preserve">RESOLUTION  </w:t>
        <w:br/>
        <w:t xml:space="preserve">Exp. S/0348/11 UICM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In Madrid, on February 19, 2013</w:t>
      </w:r>
    </w:p>
    <w:p>
      <w:r>
        <w:t>The Council of the National Competition Commission, with the composition expressed and with Mr. Julio Costas Comesaña serving as Rapporteur, has issued the following Resolution in the sanctioning file S/0348/12, initiated by the Investigation Directorate of the National Competition Commission against the UNION INTERPROFESSIONAL OF THE COMMUNITY OF MADRID (UICM) for alleged restrictive competition practices prohibited by Article 1 of Law 15/2007, of July 3, on the Defense of Competition, consisting of agreeing that the professional Colleges associated with the UICM establish additional requirements to those of being a member and holding the Official Title of Higher Technician in Occupational Risk Prevention to be part of the official list of Judicial Experts Specialized in Occupational Accidents.</w:t>
      </w:r>
    </w:p>
    <w:p>
      <w:r>
        <w:t xml:space="preserve">FACTUAL BACKGROUND  </w:t>
        <w:br/>
        <w:t xml:space="preserve">1. On December 28, 2010, a document was received at the Competition Defense Tribunal of the Community of Madrid from [...], in which a complaint was made against the UNION INTERPROFESSIONAL OF THE COMMUNITY OF MADRID (UICM) for alleged restrictive competition practices, consisting of imposing as requirements to be part of the list of Specialized Experts in Occupational Accidents (PESL) of the book "Official Lists of Experts from the Professional Colleges of the Community of Madrid," in addition to membership and possession of the title of Higher Technician in Occupational Risk Prevention (TSPRL), training in safety, health, and occupational accident expertise.  </w:t>
        <w:br/>
        <w:t>The aforementioned training can be accredited by passing the "Course on Expertise in Occupational Risk Prevention" or, if applicable, by proving five years of experience in the field (pages 5).</w:t>
      </w:r>
    </w:p>
    <w:p>
      <w:r>
        <w:t xml:space="preserve">The complainant pointed out that the course is only offered by the UICM and that the experience is difficult to fulfill and demonstrate as expertise is ancillary to the practice of occupational risk prevention and that, furthermore, this knowledge and techniques are included in most curricula of universities that recognize the Master's degree in Occupational Risk Prevention (TSPRL) as an Official Professional Master's degree, and it is the State that grants these titles and guarantees the exercise of the profession, which provides them with the necessary knowledge to act in the Courts.  </w:t>
        <w:br/>
        <w:t>The complainant concluded that the UICM filters professionals by rejecting many presented by the Colleges due to the lack of the same, thus restricting competition by increasing costs to the user by reducing the number of available experts and because they have to pay the price of the course (pages 2 and 3).</w:t>
      </w:r>
    </w:p>
    <w:p>
      <w:r>
        <w:t>2. On May 16, 2011, in application of the provisions of Law 1/2002, on the Coordination of the Competences of the State and the Autonomous Communities in the field of Competition Defense, the complaint and actions taken were received at the National Competition Commission (CNC) from the now-defunct Competition Defense Tribunal of Madrid.</w:t>
      </w:r>
    </w:p>
    <w:p>
      <w:r>
        <w:t>3. The Investigation Directorate (DI) of the CNC, in order to ascertain the reality of the reported facts to determine if there might be indications of an infringement, in accordance with Article 49.2 of Law 15/2007, of July 3, on the Defense of Competition (LDC), agreed to carry out a reserved inquiry as a preliminary step to the initiation of the corresponding file, if appropriate.</w:t>
      </w:r>
    </w:p>
    <w:p>
      <w:r>
        <w:t>4. On June 28, 2012, in view of the information gathered, the DI agreed, in accordance with Article 49.1 of the LDC, to initiate a sanctioning file against the UICM for there being rational indications of the commission of an infringement of Article 1 of the LDC, consisting of agreeing that the professional Colleges associated with the UICM establish additional requirements to those of being a member and holding the Official Title of Higher Technician in Occupational Risk Prevention to be part of the official list of Judicial Experts Specialized in Occupational Accidents, thus restricting access to this activity (pages 471-472). This agreement was notified to the UICM on June 29, 2012 (pages 477 to 484) and to the complainant on July 7, 2012 (pages 473 to 476).</w:t>
      </w:r>
    </w:p>
    <w:p>
      <w:r>
        <w:t>5. On July 25, 2012, a document was received at the DI from the UICM requesting the initiation of a conventional termination for the aforementioned sanctioning file and proposing commitments (pages 487 to 489).</w:t>
      </w:r>
    </w:p>
    <w:p>
      <w:r>
        <w:t>6. On July 30, 2012, the DI agreed to initiate actions aimed at the conventional termination of the sanctioning procedure in question, in accordance with Article 39 of the RDC, suspending the maximum period for its resolution in accordance with Article 37.1.g) of the LDC until the conclusion of the conventional termination (pages 491), which was notified to the UICM on July 30, 2012 (pages 495 to 499) and to the complainant on August 29, 2012, since the notification sent to the address indicated for this purpose was returned and had to be sent to a new address (pages 493 to bis 494.1 and 500-501).</w:t>
      </w:r>
    </w:p>
    <w:p>
      <w:r>
        <w:t>7. In accordance with the provisions of Article 39 of the RDC, on August 30, 2012, the proposal of commitments was forwarded to the complainant so that they could present any arguments they deemed appropriate, being given a period of 10 days to do so (pages 503 to 507), and on August 31, 2012, the proposal of commitments was forwarded to the CNC Council for their information. The complainant submitted arguments through a document that was received by the CNC on September 10, 2012 (pages 508 and 509).</w:t>
      </w:r>
    </w:p>
    <w:p>
      <w:r>
        <w:t xml:space="preserve">8. On July 28, 2012, in accordance with the provisions of Article 52 of the LDC and Article 39.5 of the Competition Defense Regulation, approved by Royal Decree 261/2008, of February 22 (RDC), the DI submitted to this Council, along with the reference file, the Proposal for Conventional Termination as follows:  </w:t>
        <w:br/>
        <w:t xml:space="preserve">“it is PROPOSED that the Council of the CNC resolve the conventional termination of file S/0348/12, initiated by the complaint filed by Mr. César Ayllón Castillo against the UICM, for alleged conduct contrary to the LDC, in accordance with the provisions of Articles 52 of the LDC and 39.5 of the RDC, considering that the commitment to inform the professional Colleges that make up its Occupational Risk Commission that to be part of the official list of Judicial Experts Specialized in Occupational Accidents they cannot require other requirements than membership and possession of the Official Title of Occupational Risk Prevention, making this communication both through a letter from the President of the UICM to each of the member Colleges of the Occupational Risk Prevention Commission, as well as the publication of such information on the UICM's website and the transmission of the resolution issued by the Council of the CNC in this file, resolves the competition problems that gave rise to it.  </w:t>
        <w:br/>
        <w:t>The UICM will be obliged to comply with this, which, to ensure the proper fulfillment of the commitments, must provide the Investigation Directorate with documentation proving that the committed communications have taken place.”</w:t>
      </w:r>
    </w:p>
    <w:p>
      <w:r>
        <w:t>9. The Council of the National Competition Commission completed its deliberation and ruled on this file in its meeting on February 6, 2012.</w:t>
      </w:r>
    </w:p>
    <w:p>
      <w:r>
        <w:t xml:space="preserve">10. The parties in this file are:  </w:t>
        <w:br/>
        <w:t xml:space="preserve">- [...]  </w:t>
        <w:br/>
        <w:t>- UNION INTERPROFESSIONAL OF THE COMMUNITY OF MADRID (UICM)</w:t>
      </w:r>
    </w:p>
    <w:p>
      <w:r>
        <w:t xml:space="preserve">PROVEN FACTS  </w:t>
        <w:br/>
        <w:t xml:space="preserve">A) The parties  </w:t>
        <w:br/>
        <w:t>1. Complainant: [...]. He is a Mining Engineer and TSPRL. He appears in the lists of Mining Engineers and PESL in the 2010 and 2011 editions of the "Official Lists of Professional Experts of the Community of Madrid" (pages 29 and 417).</w:t>
      </w:r>
    </w:p>
    <w:p>
      <w:r>
        <w:rPr>
          <w:b/>
        </w:rPr>
        <w:t>[Pages 4–6]</w:t>
      </w:r>
    </w:p>
    <w:p>
      <w:r>
        <w:t>2. Respondent: INTERPROFESSIONAL UNION OF THE COMMUNITY OF MADRID (UICM). It is a non-profit association, governed by Organic Law 1/2002, of March 22, regulating the Right of Association, and is registered in the Registry of Associations of the Community of Madrid with the number 17,075 (fol. 13). Its purposes are the promotion of the social function of the professions of the associated Colleges; the coordination of actions in matters of common interest and collaboration or participation in activities of other Associations, Institutions, Organizations, and Public or Private Entities of any scope for the benefit of its members (fol. 13 and 14). One of its activities to achieve these purposes is to organize and provide occupational and continuing training courses.</w:t>
      </w:r>
    </w:p>
    <w:p>
      <w:r>
        <w:t>Professional Colleges of the Community of Madrid and the demarcations or delegations in Madrid of national professional Colleges or those with a scope greater than that of the Community of Madrid, as well as those of national scope with representation and activity in its territory, may be members of the UICM (fol. 15). Currently, the Official Colleges of Lawyers, Real Estate Agents, Quantity Surveyors, Architects, Biologists, Decorators, Doctors and Graduates in Philosophy and Letters, Doctors and Graduates in Political Science and Sociology, Economists, Nursing, Pharmacists, Physicists, Geologists, Administrative Managers, Social Graduates, Passive Class Enabled, Agricultural Engineers, Civil Engineers, Mining Engineers, ICAI Engineers, Industrial Engineers, Naval and Ocean Engineers, Agricultural Technical Engineers, Industrial Technical Engineers, Mining Technical Engineers, Public Works Technical Engineers, Technical Engineers in Topography, Insurance Mediators, Doctors, Dentists and Stomatologists, Opticians, Pilots, Attorneys, Psychologists, Chemists, Commercial Graduates, Social Workers, Veterinarians, Property Administrators, Draftsmen, Physiotherapists, and Podiatrists (fol. 16).</w:t>
      </w:r>
    </w:p>
    <w:p>
      <w:r>
        <w:t>B) Professional Expert Services and Applicable Regulations.</w:t>
      </w:r>
    </w:p>
    <w:p>
      <w:r>
        <w:t>3. An expert can be defined as a person particularly qualified by virtue of their specialized knowledge in any science, art, technique, or practice.</w:t>
      </w:r>
    </w:p>
    <w:p>
      <w:r>
        <w:t>4. As an expert in a subject, in principle, their professional activity is carried out through the issuance of expert reports and/or appraisals in which they apply their knowledge to a factual situation that needs to be assessed. Such assessment or report may be formulated at the request of any company, entity, individual, judicial body, etc. Therefore, professional expert services can be provided in judicial or private processes.</w:t>
      </w:r>
    </w:p>
    <w:p>
      <w:r>
        <w:t>5. Depending on the different judicial processes, the fundamental regulation of the figure of the expert and judicial expertise can be found in articles 335 to 352, 265, and 299 of Law 1/2000, of January 7, on Civil Procedure (LEC), in articles 456 to 485 of the Criminal Procedure Law, approved by Royal Decree of September 14, 1882 (LECrim), in the Nineteenth Base of Law 7/1989, of April 12, on the Bases of Labor Procedure (LBPL), and in articles 78, 82, 87 to 90, and 93 of Law 36/2011 of October 10 regulating Social Jurisdiction (LRJS), and in articles 60 and 61 of Law 29/1998 of July 13, on Contentious-Administrative Jurisdiction.</w:t>
      </w:r>
    </w:p>
    <w:p>
      <w:r>
        <w:t>6. Apart from the specificities of each of the regulations indicated according to the jurisdictional order, the supplementary regulation of the expert and judicial expertise to which the rest of the norms of the other processes refer is contained in the LEC.</w:t>
      </w:r>
    </w:p>
    <w:p>
      <w:r>
        <w:t>7. The definition of the expert opinion, which constitutes a means of evidence, is found in article 335 of the LEC: "1. When scientific, artistic, technical, or practical knowledge is necessary to assess relevant facts or circumstances in the matter or to acquire certainty about them, the parties may submit to the process the opinion of experts who possess the corresponding knowledge or request, in the cases provided for in this law, that an opinion be issued by an expert appointed by the court." Consequently, in civil proceedings, the expert opinion is usually provided by the party, but judicial appointment of the expert is also possible when the parties request it from the judge or court, and the latter, considering such opinion pertinent and useful, proceeds to appoint one, or if the requirements for obtaining the benefits of free justice are met, appoints one according to the regulatory norms for these cases.</w:t>
      </w:r>
    </w:p>
    <w:p>
      <w:r>
        <w:t>8. In criminal proceedings, the parties may submit expert opinions to support their claims, but the Judge may also order the expert report when "to know or assess any important fact or circumstance in the summary, scientific or artistic knowledge is necessary or convenient," giving preference in criminal matters to experts with official titles over non-title holders (articles 456 to 458 LECrim).</w:t>
      </w:r>
    </w:p>
    <w:p>
      <w:r>
        <w:t>9. The labor process is characterized by the fact that expert opinions from the parties will normally be submitted at the oral hearing, through the presentation and ratification of the expert opinion by the expert, being recorded in the minutes prepared by the judicial Secretary summarizing the expert reports (article 93.1 LRJS). Furthermore, according to the provisions of the LBPL, the drawing of lots for experts will not proceed.</w:t>
      </w:r>
    </w:p>
    <w:p>
      <w:r>
        <w:t>10. Regarding the demand for judicial and private expert services, the different object of the expertise determines that in most cases each of the specialties in which the opinion is issued gives rise to the existence of a differentiated market. This is so because the expertise carried out by a qualified expert in a particular subject would not be replaceable by that carried out by an expert who does not have the equivalent qualification or practice to issue a similar report.</w:t>
      </w:r>
    </w:p>
    <w:p>
      <w:r>
        <w:t>11. In the judicial sphere, as has already been pointed out, the demand is fundamentally represented by the parties in the judicial process in question and by the judicial body itself, either ex officio or at the request of a party. Also, since judicial expert reports would not be essentially different from those conducted in the strictly private sphere, the demand for the services of experts may also come from private individuals.</w:t>
      </w:r>
    </w:p>
    <w:p>
      <w:r>
        <w:t>12. There is also a demand for judicial expert services represented by the parties of a process already initiated or about to be initiated, who will request expert services to prove or substantiate the facts alleged in court or to assess the damages suffered.</w:t>
      </w:r>
    </w:p>
    <w:p>
      <w:r>
        <w:t>13. Article 340 of the LEC establishes: "1. Experts must possess the official title corresponding to the subject matter of the opinion and to its nature. If it concerns subjects not covered by official professional titles, they must be appointed from among persons knowledgeable in those subjects. 2. An opinion may also be requested from Academies and cultural and scientific institutions that deal with the study of the subjects corresponding to the object of the expertise. Legal entities legally qualified to do so may also issue opinions on specific issues. […]</w:t>
      </w:r>
    </w:p>
    <w:p>
      <w:r>
        <w:t>14. Regarding the judicial appointment of the expert, the common and supplementary legislation for all jurisdictional orders is contained in article 341 of the LEC, developed by Instruction 5/2001, of December 19, of the General Council of the Judiciary, modified by Agreement of the Plenary of the Council of October 28, 2010, on the annual submission to the jurisdictional bodies of lists of professionals for their appointment as experts. Thus, article 341 of the LEC provides: "1. In January of each year, requests will be made from the different professional Colleges or, failing that, from analogous entities, as well as from the Academies and cultural and scientific institutions referred to in the second section of the previous article for the sending of a list of members or associates willing to act as experts. The first appointment from each list will be made by drawing lots conducted in the presence of the Judicial Secretary, and subsequent appointments will be made in sequential order. 2. When it is necessary to appoint an expert who does not have an official title, practice, or knowledge in the subject, after summoning the parties, the appointment will be made by the procedure established in the previous section, using a list of persons that will be requested each year from unions, associations, and appropriate entities, and which must consist of at least five of those persons. If, due to the uniqueness of the subject of the opinion, only the name of one knowledgeable or practiced person is available, the consent of the parties will be sought, and only if all grant it will that person be appointed as an expert."</w:t>
      </w:r>
    </w:p>
    <w:p>
      <w:r>
        <w:rPr>
          <w:b/>
        </w:rPr>
        <w:t>[Pages 7–9]</w:t>
      </w:r>
    </w:p>
    <w:p>
      <w:r>
        <w:t>15. The General Council of the Judiciary approved on 02/25/04 a Protocol of Action of the Common Procedural Service for the Assignment of Judicial Experts in accordance with the LEC, which contains the criteria for the assignment of judicial experts in the forensic field.</w:t>
      </w:r>
    </w:p>
    <w:p>
      <w:r>
        <w:t>16. On November 10, 2008, the UICM signed a Collaboration Protocol with the Deanery of Judges of Madrid whereby the Common Designation Service, in accordance with Article 341 LEC, preferentially uses the lists of the UICM, as its content is supported by the Colleges, which the LEC assigns the function of preparing the lists of available professionals (fol. 21).</w:t>
      </w:r>
    </w:p>
    <w:p>
      <w:r>
        <w:t>17. On the other hand, Royal Decree 39/1997, of January 17, which approves the Regulation of Prevention Services, defines in Articles 34 to 37 the qualification levels required to perform preventive activities and risk assessment. In particular, Article 37 (amended by RD 337/2010, of March 19), establishes that to perform "higher level" preventive and risk assessment functions: "it is necessary to have an official university degree and possess a minimum training accredited by a university with the content specified in the program referred to in Annex VI, whose development will last no less than six hundred hours and a time distribution appropriate to each training project, respecting that established in the aforementioned annex."</w:t>
      </w:r>
    </w:p>
    <w:p>
      <w:r>
        <w:t>18. By virtue of Law 1/2009, of March 26, of the Generalitat of the Valencian Community, the Official College of Higher Technicians in Occupational Risk Prevention is created, the only college of Higher Technicians in Occupational Risk Prevention, which integrates "those who, meeting the required qualifications, intend to develop the professional activity of higher technician in occupational risk prevention in the scope of the Valencian Community."</w:t>
      </w:r>
    </w:p>
    <w:p>
      <w:r>
        <w:t>C) Established Facts</w:t>
      </w:r>
    </w:p>
    <w:p>
      <w:r>
        <w:t>19. Upon the entry into force of the LEC, in January 2001, the UICM assumed the coordination of the effectiveness of the duty established in art. 341.1 of the LEC for the professional Colleges, to provide in January of each year a list of members willing to act as judicial experts.</w:t>
      </w:r>
    </w:p>
    <w:p>
      <w:r>
        <w:t>20. To coordinate the work of all the Colleges that comprise it and at their request, the UICM publishes the book "Official Lists of Professional Experts of the Community of Madrid" which contains the members of each of these Colleges, willing to act as experts before the Courts and Tribunals of the Community of Madrid (fol. 408 and 409) and sends the edition to the Courts and Tribunals based in the Community of Madrid and to the Common Procedural Services of the Madrid area. The "Lists" contain relationships of professionals from the Madrid territorial area, supra-autonomous or national with demarcation, delegation or activity in the Community of Madrid (fol. 410).</w:t>
      </w:r>
    </w:p>
    <w:p>
      <w:r>
        <w:t>21. The book "Official Lists of Professional Experts of the Community of Madrid" did not include, until its 2010 edition, a specific list of experts specialized in occupational accidents, integrating them into the lists of the Colleges that are part of the UICM that had the specialty of occupational risk prevention.</w:t>
      </w:r>
    </w:p>
    <w:p>
      <w:r>
        <w:t>22. In 2009, the Occupational Risk Prevention Commission of the UICM decided to open a list of Specialized Experts in Occupational Accidents, independent of those of each of the Colleges with that specialty, formed by professionals of different qualifications. To be included in it, it is required to be a member, be a TSPRL, possess specific training in the field of health and accident assessment, which can be accredited through a course taught by the UICM itself and, if this requirement is not met, to document sufficient experience in the last five years in the field of safety and occupational accident assessment (fol. 2 and 22). This Occupational Risk Prevention Commission is constituted by the Official Colleges of Architects of Madrid; of Doctors and Graduates in Political Science and Sociology, delegation in Madrid; of Civil Engineers, Madrid demarcation; of Technical Engineers of Public Works; of Mining Engineers of the Center; of Quantity Surveyors, Technical Architects and Building Engineers, of Madrid; of Biologists of the Community of Madrid; of Agricultural Engineers of the Center and the Canary Islands; of Technical Agricultural Engineers and Agricultural Experts of the Center; of Industrial Technical Engineers of Madrid; of Psychologists of Madrid and of Chemists of Madrid.</w:t>
      </w:r>
    </w:p>
    <w:p>
      <w:r>
        <w:t>23. Although the "Official Lists of Experts of Professional Colleges of the Community of Madrid" are directed to the jurisdictional bodies, for which it is of preferential use by virtue of the protocol signed by the UICM and the Deanery of Judges of Madrid, it is also available to professionals and citizens interested in hiring experts (fol. 414), which determines that the professionals listed in these lists have more opportunities to exercise their activity before the courts and tribunals.</w:t>
      </w:r>
    </w:p>
    <w:p>
      <w:r>
        <w:t>24. In the brochure in which the UICM advertised the II edition of the course (April-June 2010), it was stated that each year and by virtue of art. 341.1 of the LEC, the UICM publishes the List of Experts of the Professional Colleges of the Community of Madrid, in which since 2010 a list of PESL had been opened, which would include "the participants of the course who are members of the corresponding professional college, who have met the required criteria and so wish." (fol. 6 and 7).</w:t>
      </w:r>
    </w:p>
    <w:p>
      <w:r>
        <w:t>25. In the UICM brochure advertising the IV edition of the course (March-June 2012), it was indicated that "Those who pass this course, meet the access criteria established by the corresponding professional college and so request from their corporation may be part of the lists of experts specialized in occupational accidents of those colleges, which are integrated into the book 'Official List of Experts of the Professional Colleges of the Community of Madrid', published by the Interprofessional Union of the Community of Madrid on behalf of the professional Colleges and sent to the Courts and Tribunals in accordance with Article 341.1 of the Civil Procedure Act." (fol. 419).</w:t>
      </w:r>
    </w:p>
    <w:p>
      <w:r>
        <w:t>D) The commitments</w:t>
      </w:r>
    </w:p>
    <w:p>
      <w:r>
        <w:t>26. The UICM proposed the following commitments in its letter dated July 24, 2012:</w:t>
      </w:r>
    </w:p>
    <w:p>
      <w:r>
        <w:t>i) Communication by letter from the President of the UICM to the member Colleges of the Occupational Risk Prevention Commission of the UICM informing that, according to the CNC's criteria:</w:t>
      </w:r>
    </w:p>
    <w:p>
      <w:r>
        <w:t>- Generally, they cannot require additional criteria beyond membership and the Official Occupational Risk Prevention Title to include their members in the List of Experts Specialized in Occupational Accidents.</w:t>
      </w:r>
    </w:p>
    <w:p>
      <w:r>
        <w:t>- Therefore, they cannot establish as a requirement for incorporating members into the List of Experts Specialized in Occupational Accidents, any specific training in occupational accident assessment or prior experience in assessment. The above, without prejudice to reflecting such training or experience in the List.</w:t>
      </w:r>
    </w:p>
    <w:p>
      <w:r>
        <w:t>The communication would be immediate to be effective for the list of experts for the next year 2013.</w:t>
      </w:r>
    </w:p>
    <w:p>
      <w:r>
        <w:t>ii) Publication of such communication, for general knowledge, on the UICM website.</w:t>
      </w:r>
    </w:p>
    <w:p>
      <w:r>
        <w:t>iii) Information at the annual meeting of experts, organized by the UICM in September, about the general criteria of the CNC in relation to the list of experts, and specifically about the criteria applied to the List of Experts Specialized in Occupational Accidents.</w:t>
      </w:r>
    </w:p>
    <w:p>
      <w:r>
        <w:t>27. The UICM, through a document received by the CNC on November 19, 2012, indicated that on September 18, 2012, it fulfilled the third of the proposed commitments, by informing at the annual meeting of experts about the general criteria of the CNC in relation to the lists of experts and especially to the list of Specialized Experts in Occupational Accidents. It also adds that having fulfilled that third commitment before the resolution of the file by the CNC Council, it additionally commits to distribute the final resolution of the CNC Council among the member Colleges of the Occupational Risk Prevention Commission (fol. 510 to 519).</w:t>
      </w:r>
    </w:p>
    <w:p>
      <w:r>
        <w:t>LEGAL GROUNDS</w:t>
      </w:r>
    </w:p>
    <w:p>
      <w:r>
        <w:t>First.- Object and Legal Basis</w:t>
      </w:r>
    </w:p>
    <w:p>
      <w:r>
        <w:t>The Council, in this file, must decide based on the proposal raised by the Investigation Directorate, whether the requirements established in the</w:t>
      </w:r>
    </w:p>
    <w:p>
      <w:r>
        <w:rPr>
          <w:b/>
        </w:rPr>
        <w:t>[Pages 10–12]</w:t>
      </w:r>
    </w:p>
    <w:p>
      <w:r>
        <w:t>members of the Occupational Risk Prevention Commission (pages 510 to 519).</w:t>
      </w:r>
    </w:p>
    <w:p>
      <w:r>
        <w:t>LEGAL GROUNDS</w:t>
      </w:r>
    </w:p>
    <w:p>
      <w:r>
        <w:t>First.- Object and Legal Basis</w:t>
      </w:r>
    </w:p>
    <w:p>
      <w:r>
        <w:t>The Council, in this file, must decide based on the proposal submitted by the Directorate of Investigation, whether the requirements established in articles 52.1 of the LDC and 39 of the RDC are met, to proceed with the Conventional Termination of the sanctioning file initiated.</w:t>
      </w:r>
    </w:p>
    <w:p>
      <w:r>
        <w:t>Article 52.1 of the LDC states that the Council, at the proposal of the Directorate of Investigation, "may resolve the Conventional Termination of the sanctioning procedure regarding agreements and restrictive practices when the alleged infringers propose commitments that resolve the effects on competition arising from the behaviors subject to the file and sufficiently guarantee the public interest."</w:t>
      </w:r>
    </w:p>
    <w:p>
      <w:r>
        <w:t>The procedure or regime of Conventional Termination in Spanish legislation is provided as a special form of conclusion of the sanctioning procedure, without any pronouncement by the competition authorities regarding the existence or non-existence of an infringement in the behaviors subject to initiation, thus differing from the usual conclusion of sanctioning files, which according to Article 53 of the LDC must end either by declaring the existence of prohibited behaviors, or by declaring the existence of behaviors that due to their minor importance are not capable of affecting competition, or by stating that the existence of prohibited practices has not been proven.</w:t>
      </w:r>
    </w:p>
    <w:p>
      <w:r>
        <w:t>Well, as can be deduced from the wording of the aforementioned Article 52.1 of the LDC, which speaks of alleged infringers, to use Conventional Termination in Spanish legislation does not require a prior declaration of infringement by the competition authority; furthermore, it is not even necessary for the instructing body to have formulated a Statement of Specific Facts under art. 33.1 of the RDC, as is the case here, since it is an instrument provided for early on, and before the initiation by the competition authorities of a sanctioning file, considering that there are indications of infringement, the initiated party (referred to in the LDC as the alleged infringer) may quickly terminate the file, provided that they propose commitments that, in the opinion of said authority, resolve the possible effects that the allegedly infringing behaviors could have on competition.</w:t>
      </w:r>
    </w:p>
    <w:p>
      <w:r>
        <w:t>Second.- Allegations of the complainant</w:t>
      </w:r>
    </w:p>
    <w:p>
      <w:r>
        <w:t>In their allegations to the proposal of commitments, the complainant states, first of all, that it was not the Colleges, but the UICM, that decided to create the list of PESL, since there is neither a College of Occupational Risk Prevention, nor have the Colleges that make up the UICM published lists of TSPRL, some because they cannot access the (higher) qualification and others because their objective is not to publish lists that would only affect some members.</w:t>
      </w:r>
    </w:p>
    <w:p>
      <w:r>
        <w:t>The UICM saw the opportunity to create that list to facilitate judicial work and asked the Colleges to prepare lists with their members who had that qualification and were interested in being part of the new list, but included limitations on experience and training that should be accredited by the interested parties, and the Colleges merely conveyed to their members the initiative of the UICM with its restrictions.</w:t>
      </w:r>
    </w:p>
    <w:p>
      <w:r>
        <w:t>Secondly, the complainant insists that it was the UICM and not the Colleges that established the requirements for inclusion in the list, as it organized a 20-hour mandatory course on occupational risk assessment to be part of it, at a cost of €400, taught by people close to and friends of the Governing Board of the UICM and members of its Occupational Risk Prevention Commission. It would also not be true that courses taught by other Centers were accepted, as when it was requested, only the UICM taught it. The UICM also misrepresents itself when it presents as an organization that merely compiles what is sent to it by the Colleges and conveys that the problem is future-oriented, when it has already restricted competition and achieved illegal exactions from its members.</w:t>
      </w:r>
    </w:p>
    <w:p>
      <w:r>
        <w:t>Finally, the complainant considers that the UICM's proposal for conventional termination is unacceptable, as the damage has already been done and the appropriate action would be to impose a heavy financial penalty to prevent it from happening again and to inform that the money must be returned to the members who indicate that they paid for the course to appear on the list. Furthermore, action should be taken against the members of the Governing Board so that the penalty affects those who made the decision and not the organization maintained by the members themselves.</w:t>
      </w:r>
    </w:p>
    <w:p>
      <w:r>
        <w:t>The Council agrees with the Directorate of Investigation in rejecting these allegations. In accordance with Article 52 of the LDC and Article 39.5. b) of the RDC, the commitments proposed by the alleged infringer must resolve the effects on competition of the behaviors subject to the file and sufficiently guarantee the protected public interest.</w:t>
      </w:r>
    </w:p>
    <w:p>
      <w:r>
        <w:t>Therefore, for the purposes of determining the restrictions on competition that may be resolved through conventional termination, it is not relevant whether it was the UICM - as stated by the complainant - or certain Colleges that decided to create a list of technicians in occupational risk prevention. What is relevant is that it is accredited that in a Committee of the UICM a series of requirements were agreed upon to be included as an expert in such matters and that such conduct may generate restrictions on competition.</w:t>
      </w:r>
    </w:p>
    <w:p>
      <w:r>
        <w:t>It is accredited in the file (Proven Fact 22) that the Occupational Risk Prevention Commission of the UICM decided to open a list of Specialized Experts in Occupational Accidents, independent of those of each of the Colleges with that specialty, in which only members who met a series of requirements, including completing a course, would be included. It is this conduct that led to the initiation of the present file, as it reflects indications of restriction on competition to the extent that it introduces unjustified barriers to the exercise of that activity, but it does not prevent the detected problem from being resolved through conventional termination, in accordance with the criteria of the Communication on Conventional Termination of October 2011 (available at www.cncompetencia.es), contrary to what the complainant has indicated.</w:t>
      </w:r>
    </w:p>
    <w:p>
      <w:r>
        <w:t>Finally, the complainant requests that the amount of the course taught by the UICM be refunded to the members who claim to have paid it to be part of the list. The Council cannot rule on this matter as it is not within the competence of the CNC but, if applicable, of the ordinary jurisdiction.</w:t>
      </w:r>
    </w:p>
    <w:p>
      <w:r>
        <w:t>Third.- On the adequacy of the commitments for the conventional termination of the file.</w:t>
      </w:r>
    </w:p>
    <w:p>
      <w:r>
        <w:t>Law 15/2007 regulates in its Article 52 the conventional termination as a form of resolution of the sanctioning procedure for prohibited behaviors in Articles 1, 2 and/or 3 of the Law and, where applicable, Articles 101 and/or 102 TFEU, atypical and alternative to the pronouncement on the merits of the matter subject to the sanctioning file (paragraphs 8 and 9 of the Communication on Conventional Termination).</w:t>
      </w:r>
    </w:p>
    <w:p>
      <w:r>
        <w:t>As indicated in paragraph 10 of the aforementioned Communication on Conventional Termination, the object of conventional termination is twofold. On the one hand, it seeks to achieve a rapid restoration of the conditions of competition that have been put at risk by the detected restrictive behaviors, through commitments that resolve the competition problems or eliminate unjustified restrictions on competition, safeguarding the welfare of consumers and the public interest. On the other hand, it allows compliance with the principle of administrative efficiency, enabling a more appropriate use of the CNC's resources, by facilitating a reduction in the instruction procedures and a shortening of the timeframes of the sanctioning file in which conventional termination is agreed upon.</w:t>
      </w:r>
    </w:p>
    <w:p>
      <w:r>
        <w:t>The UICM agreed that the professional Colleges associated with it establish additional requirements to those of being a member and being a Senior Technician in Occupational Risk Prevention to be part of the official list of Specialized Judicial Experts in Occupational Accidents. The requirement by the Colleges for additional requirements beyond membership and the corresponding qualification to be part of the lists of judicial experts constitutes a restriction on free competition, as indicated by the CNC in its "Report on Professional Colleges after the transposition of the Services Directive" (2012):</w:t>
      </w:r>
    </w:p>
    <w:p>
      <w:r>
        <w:t>"Professional Colleges prepare lists of professionals who wish to act as judicial experts in exercise of the function provided for them in the LCP1, Article 5, letter h). The way to establish these lists is likely to create barriers to access in the segment of judicial experts and have an effect equivalent to mandatory membership in the event that it does not exist. Given the unique position of Professional Colleges as facilitators to judges and courts of lists of experts for judicial matters, the way they prepare the lists of experts is not neutral to competition but can introduce elements that prevent, distort, or restrict effective competition in the markets, as has already occurred in the past and is evidenced by numerous resolutions of sanctioning files."</w:t>
      </w:r>
    </w:p>
    <w:p>
      <w:r>
        <w:t>1 Law 2/1974, of February 13, on Professional Colleges</w:t>
        <w:br/>
        <w:t>2 "Report on Professional Colleges after the transposition of the Services Directive" (2012), p. 47</w:t>
      </w:r>
    </w:p>
    <w:p>
      <w:r>
        <w:rPr>
          <w:b/>
        </w:rPr>
        <w:t>[Pages 13–14]</w:t>
      </w:r>
    </w:p>
    <w:p>
      <w:r>
        <w:t>An opinion that had already been expressed by this Council in its Resolution of February 9, 2009 (file 637/08, Experts/Architects of the Valencian Community), in which the Third Legal Ground recalls that article 340.1 LEC only establishes that experts "must possess the official title corresponding to the subject matter of the report and to its nature" when it comes to official professional titles, and concludes that "The legal norm in this regard does not go beyond this, implying that with these requirements, the parties and the judge or the court can choose among those experts who can legally be so and who offer their services in the context of a civil judicial procedure." The Resolution indicates that, except for the requirements of having the required official qualification and being registered if registration is mandatory for professional practice, "the LEC does not specify any other criteria for the 'ordering' by the Professional College, beyond these requirements."</w:t>
      </w:r>
    </w:p>
    <w:p>
      <w:r>
        <w:t>The commitments proposed by the UICM, reproduced in the Established Facts 26 and 27, allow for the cessation of the conduct that led to the initiation of this sanctioning file, to the extent that they consist of informing the professional Colleges that make up its Occupational Risk Commission that to be part of the official list of Specialized Judicial Experts in Occupational Accidents, they cannot require other requirements than membership and possession of the Official Occupational Risk Prevention Title, making this communication both through a letter from the President of the UICM to each of the member Colleges of the Occupational Risk Prevention Commission, as well as through the publication of such information on the UICM's website and the distribution of this resolution among the member Colleges of the Occupational Risk Prevention Commission.</w:t>
      </w:r>
    </w:p>
    <w:p>
      <w:r>
        <w:t>Therefore, the Council agrees with the Directorate of Investigation that these commitments adequately resolve the effects on competition arising from the investigated conduct, allowing for a prompt satisfaction of the public interest protected to the extent that the commitments were presented less than a month after the initiation of the file, thus at a very early stage of the investigation (paragraph 11 of the Communication of Conventional Termination).</w:t>
      </w:r>
    </w:p>
    <w:p>
      <w:r>
        <w:t>For all the above reasons, having regard to the cited legal and regulatory provisions and others of general application, the Council of the National Competition Commission,</w:t>
      </w:r>
    </w:p>
    <w:p>
      <w:r>
        <w:t>RESOLVES</w:t>
      </w:r>
    </w:p>
    <w:p>
      <w:r>
        <w:t>FIRST.- To agree, under the provisions of article 52 of the Competition Defense Act, to the Conventional Termination of the sanctioning procedure of file S/348/11, UICM, subject to the commitments described in the Established Facts 26 and 27, in the terms described in the Third Legal Ground of this Resolution.</w:t>
      </w:r>
    </w:p>
    <w:p>
      <w:r>
        <w:t>SECOND.- The non-compliance with any of the commitments will be considered a very serious infringement in accordance with the provisions of article 62.4 c) of the Competition Defense Act and article 39.7 of the RDC.</w:t>
      </w:r>
    </w:p>
    <w:p>
      <w:r>
        <w:t>THIRD.- To entrust the Directorate of Investigation with the monitoring of this Resolution of the Conventional Termination.</w:t>
      </w:r>
    </w:p>
    <w:p>
      <w:r>
        <w:t>This Resolution shall be communicated to the Directorate of Investigation, and notified to the interested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