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https://www.cnmc.es/expedientes/s035011</w:t>
      </w:r>
    </w:p>
    <w:p>
      <w:r>
        <w:t>Pages translated : 13</w:t>
      </w:r>
    </w:p>
    <w:p/>
    <w:p>
      <w:r>
        <w:rPr>
          <w:b/>
        </w:rPr>
        <w:t>[Pages 1–3]</w:t>
      </w:r>
    </w:p>
    <w:p>
      <w:r>
        <w:t xml:space="preserve">CNC  </w:t>
        <w:br/>
        <w:t xml:space="preserve">NATIONAL COMPETITION COMMISSION  </w:t>
        <w:br/>
        <w:t xml:space="preserve">RESOLUTION  </w:t>
        <w:br/>
        <w:t xml:space="preserve">File S/0350/11 Roadside Assistance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Diez Martín, Councilor  </w:t>
        <w:br/>
        <w:t xml:space="preserve">In Madrid, on December 15, 2011  </w:t>
        <w:br/>
        <w:t xml:space="preserve">The Council of the National Competition Commission, with the composition expressed and being the Rapporteur Councilor Mr. Julio Costas Comesaña, has issued the following Resolution in the reserved information file S/0350/11 initiated ex officio by the Investigation Directorate of the National Competition Commission regarding the actions of various insurance companies with roadside assistance services, for alleged restrictive competition practices prohibited by Articles 2 and 3 of Law 15/2007, of July 3, on the Defense of Competition.  </w:t>
        <w:br/>
        <w:t xml:space="preserve">FACTUAL BACKGROUND  </w:t>
        <w:br/>
        <w:t xml:space="preserve">1. On May 8, 2002, the National Association of Vehicle Accident and Breakdown Assistance Companies (ANERVA) reported insurance and travel assistance companies for limiting the actions of roadside assistance companies.  </w:t>
        <w:br/>
        <w:t xml:space="preserve">On January 8, 2003, the now-defunct Competition Defense Service (SDC) archived the actions taken under file number 2387/02, among other reasons, for considering that there was no exclusivity in the contracts nor indications of price agreements.  </w:t>
        <w:br/>
        <w:t xml:space="preserve">2. On May 19, 2004, and February 16, 2005, BAS HERMANOS SL, a roadside assistance company in the province of Alicante, reported MAPFRE MUTUALIDAD DE SEGUROS Y REASEGUROS A PRIMA FIJA, among other arguments, for providing roadside assistance services using MAPFRE logos on their tow trucks, under the threat of reducing the number of services contracted by the complainant and for paying prices below the cost of the services.  </w:t>
        <w:br/>
        <w:t xml:space="preserve">In October 2005, the now-defunct SDC archived file 2530/04 because the existence of numerous competitors in the market of insurance companies with roadside assistance services, with similar shares and the apparent absence of entry barriers, did not allow MAPFRE to behave with relative independence from its competitors, clients, and consumers, therefore it did not have a dominant position in the roadside assistance insurance market.  </w:t>
        <w:br/>
        <w:t xml:space="preserve">BAS HERMANOS SL filed an appeal against said Filing Agreement before the now-defunct Competition Defense Tribunal (TDC), which dismissed it. This Resolution was appealed before the National Court, which by Judgment of July 24, 2008, dismissed the appeal, with no appeal for cassation against it. Finally, Grúas Abril filed an amparo appeal before the Constitutional Court, which was also dismissed by Order of April 14, 2009.  </w:t>
        <w:br/>
        <w:t xml:space="preserve">3. On August 2, 2004, the SPANISH UNION OF INSURANCE AND REINSURANCE ENTITIES (UNESPA) reported the BASKA ASSOCIATION OF ROAD ASSISTANCE COMPANIES (ABEAC) for price fixing and commercial conditions in the market for the provision of towing services in the Basque Country, which would have caused the roadside assistance companies providing their services to insurers to breach the lease contracts signed with them.  </w:t>
        <w:br/>
        <w:t xml:space="preserve">The complaint processed through file 2548/04 was archived due to the withdrawal of the complainant.  </w:t>
        <w:br/>
        <w:t xml:space="preserve">4. The SDC agreed ex officio to initiate reserved information number DP 02/05, within which it requested, on May 24, 2005, documentation from several insurance companies with roadside assistance services in order to analyze the possible existence of restrictive competition practices (folios 3 to 299).  </w:t>
        <w:br/>
        <w:t xml:space="preserve">The purpose of the request was to ascertain whether the insurance companies with roadside assistance services provided such services with their own tow trucks or subcontracted them, the exclusivity of the contracts, the negotiation method, the conditions of branding and whether it was total or partial, the roadside assistance services provided in the contracts, and the prices applied as well as market shares during the years 2004 and until April 2005 and the position held by the entity in the ranking of insurers.  </w:t>
        <w:br/>
        <w:t xml:space="preserve">5. On June 11, 2008, the Ministry of Development and the Department of Freight Transport of the National Road Transport Committee agreed on a series of measures aimed at overcoming the difficulties generated by the increase in diesel prices and the decline in activity (folios 1660 to 1669). In this agreement, it was foreseen that the National Competition Commission (CNC) would develop a specific research plan contemplating the assumptions that could constitute abuse of dominant position in the contracting of roadside assistance vehicles.  </w:t>
        <w:br/>
        <w:t xml:space="preserve">On June 13, 2008, the Council of Ministers ratified this agreement, published in the BOE of the 14th: ORDER PRE/1664/2008, of June 13, which publicizes the Agreement of the Council of Ministers acknowledging the Agreement of the General State Administration with the Freight Transport Department of the National Road Transport Committee of June 11, 2008.  </w:t>
        <w:br/>
        <w:t xml:space="preserve">6. Within the framework of the Specific Research Plan that was to be developed according to the aforementioned Agreement, the Investigation Directorate (DI) of the CNC requested on December 5, 2008, information from several selected roadside assistance service provider companies based on the lists provided by the insurance companies requested on May 24, 2005, with which they maintained a contractual relationship in different parts of the national territory, having selected the most representative large and medium-sized cities (folios 338 to 1027).  </w:t>
        <w:br/>
        <w:t xml:space="preserve">The purpose of the request was to ascertain the exclusivity or not of the contracts with the insurance companies, the negotiation method, the branding conditions, whether it was total or partial, the roadside assistance services provided in the contracts, and the prices applied.  </w:t>
        <w:br/>
        <w:t xml:space="preserve">Between December 2008 and February 2009 (folios 424 to 455; 456 to 471; 472 to 553; 554 to 612; 636 to 638; 893 to 1001; 1002 to 1027; 1028 to 1030), the CNC received responses to the aforementioned requests.  </w:t>
        <w:br/>
        <w:t xml:space="preserve">7. On November 28, 2008, the DI received a letter from the Business Association of the Valencian Community for Roadside Assistance (AECVAC), in which it inquired whether the actions of the REAL AUTOMOBILE CLUB OF CATALONIA (RACC) constituted a restrictive competition practice. Specifically, RACC, which provides roadside assistance services through the contracting of vehicle towing companies, would be unilaterally imposing on roadside assistance companies and, in particular, on LEYRE ASISTENCIA SL, in the geographical area of Valencia, rates significantly lower than the average cost of the service, according to a report prepared by the Department of Economic and Business Sciences of the University of Alicante, and this despite being aware of that report (folios 300 to 332).  </w:t>
        <w:br/>
        <w:t xml:space="preserve">On December 4, 2008, the Investigation Directorate communicated to AECVAC that the inquiry made would be incorporated and analyzed within the framework of the preliminary proceedings DP 02/05 (folios 333 to 337).  </w:t>
        <w:br/>
        <w:t xml:space="preserve">8. On December 29, 2008, the CNC received a letter from the National Association of Specialized Rescue Companies - Assistance for Broken-Accident Vehicles (ANERVA), stating that it had become aware of the investigation carried out by the DI to analyze possible irregularities contrary to competition committed by insurance companies in the field of rescue and roadside assistance activities, and offered its collaboration in this investigation and provided information about the case (folios 613 to 635, 676 to 892).  </w:t>
        <w:br/>
        <w:t xml:space="preserve">9. On March 23, 2009, the DI received a letter from AECVAC, as a continuation of the letter dated November 28, 2008, and the response from the Investigation Directorate dated December 4, 2008, where it made some reflections on the need to investigate loss-leading sales in the roadside assistance sector as a possible restrictive competition practice (folios 1015 to 1027).  </w:t>
        <w:br/>
        <w:t>On May 29, 2009, the DI received another letter from AECVAC as a continuation of its letter dated November 28, 2008, attaching a letter that RACC sent to ASISTENCIA LEYRE SL, which would demonstrate, according to the latter, the clear unilateral imposition of inequitable rates by RACC on the roadside assistance and rescue sector (folios 1031 to 1032).</w:t>
      </w:r>
    </w:p>
    <w:p>
      <w:r>
        <w:rPr>
          <w:b/>
        </w:rPr>
        <w:t>[Pages 4–6]</w:t>
      </w:r>
    </w:p>
    <w:p>
      <w:r>
        <w:t xml:space="preserve">NATIONAL COMPETITION COMMISSION  </w:t>
        <w:br/>
        <w:t xml:space="preserve">On June 3, 2009, the DI responded that said letter did not constitute by itself evidence of the alleged unilateral price fixing by RACC on the roadside assistance sector, not even regarding ASISTENCIA LEYRE S.L., and that, in any case, for the purpose of giving the appropriate treatment to its writing, it should clarify whether it wished for it to be incorporated and analyzed within the framework of the preliminary proceedings (reference DP 02/05).  </w:t>
        <w:br/>
        <w:t xml:space="preserve">10. On October 5, 2009, the DI requested information from the "Cooperative Investigation between Insurance Entities and Pension Funds" (ICEA) regarding the market shares of the main insurance companies in the field of roadside assistance services both at the national and provincial levels (folios 1035 to 1038).  </w:t>
        <w:br/>
        <w:t xml:space="preserve">On October 7, 2009, a response was received from the Studies and Information Technologies Area of ICEA, attaching a file with a ranking of market shares of assistance entities in general and at the national level, as it does not have information on roadside assistance separately or at the provincial level (folios 1039 to 1043).  </w:t>
        <w:br/>
        <w:t xml:space="preserve">11. On October 9, 2009, the DI requested information from the General Directorate of Insurance and Pension Funds (DGSFP) regarding the market shares of the main insurance companies in the field of roadside assistance services both at the national and provincial levels (folios 1045 to 1048). A response was received from the DGSFP on November 2, 2009 (folios 1049 to 1051).  </w:t>
        <w:br/>
        <w:t xml:space="preserve">12. On January 19, 2010, the DI requested several insurers for information about their market shares updated to that date and those of their main competitors in the field of roadside assistance services at the regional or provincial level (folios 1052 to 1079 bis).  </w:t>
        <w:br/>
        <w:t xml:space="preserve">13. On the same date, the Investigation Directorate requested the DGSFP for information regarding the market shares at that time of the main insurance companies in the field of roadside assistance services at the regional and provincial levels (folio 1080). Between February and March 2010, responses to the aforementioned requests for information were received at the CNC (folios 1083 to 1131).  </w:t>
        <w:br/>
        <w:t xml:space="preserve">14. On June 17, 2010, the DI made a new request for information to several insurance companies requesting a breakdown by provinces of the number of services rendered monthly in the field of roadside assistance, as well as the number of monthly incidents and the volume of premiums accrued during the years 2008 and 2009, distinguishing between cars, motorcycles, trucks, vans, and buses (folios 1132 to 1153). Between June and August 2010, responses to the aforementioned requests for information were received at the CNC.  </w:t>
        <w:br/>
        <w:t xml:space="preserve">15. On May 24, 2011, in accordance with the provisions of Article 49.3 of Law 15/2007, of July 3, on the Defense of Competition (LDC), the Director of Investigation adopted an Agreement of non-initiation of the sanctioning procedure, as well as the filing of the proceedings followed, considering that there are no indications of infringement of the aforementioned Law and, consequently, agreed to submit to this Council a Proposal for Filing, along with the complaint and the proceedings carried out to which reference S/0350/11 is assigned (to which all documentation included in DP 02/05 is incorporated), in accordance with the provisions of Article 27 of Royal Decree 261/2008, of February 22, which approves the Competition Defense Regulation (RDC).  </w:t>
        <w:br/>
        <w:t xml:space="preserve">16. The Proposal for Filing of the DI provides the following description of the roadside assistance sector:  </w:t>
        <w:br/>
        <w:t xml:space="preserve">On one hand, there are insurance companies with roadside assistance services, and on the other, collaborating companies or providers of roadside assistance services.  </w:t>
        <w:br/>
        <w:t xml:space="preserve">The most important insurance companies with roadside assistance services at the time the investigations began in 2005 were: MAPFRE, EUROP ASSISTANCE, ARAG, UNIVERSAL ASISTENCIA DE SEGUROS Y REASEGUROS S.A, ELVIA, INTER PARTNER ASSISTANCE, and UNIÓN DE AUTOMÓVILES CLUBS, S.A (UNACSA).  </w:t>
        <w:br/>
        <w:t xml:space="preserve">Insurance companies do not usually provide these services directly to their insured, but subcontract them to the companies providing roadside assistance services. These companies provide their roadside assistance and rescue services in a local scope, approximately provincial, as deduced from the lists provided by the insurance companies requested (folios 10 to 153; folios 173 to 196; folios 256 to 297).  </w:t>
        <w:br/>
        <w:t xml:space="preserve">Considering some of the most significant provinces, and according to information provided by the insurance companies requested, in the province of Madrid there are approximately 40 roadside assistance and rescue service companies, more than 30 in Barcelona, more than 20 in Valencia, more than 30 in Seville, 10 in Biscay, 30 in La Coruña, more than 10 in Zamora, more than 20 in Cuenca, and approximately 20 in Teruel.  </w:t>
        <w:br/>
        <w:t xml:space="preserve">These assistance services consist, among others, of on-site repair, towing, rescue, emergency roadside repair, vehicle salvage due to overturning or falling into a ravine, and vehicle storage.  </w:t>
        <w:br/>
        <w:t xml:space="preserve">These companies also provide complementary services: mechanical services, bodywork and painting, express service, replacement vehicles, maintenance advice (lighting, shock absorbers, battery, oil change, brakes, tires), wholesale trade of automobiles, trucks, coaches, trailers, motorcycles, and bicycles, buying and selling new and used vehicles as well as their parts and derivatives, repairs of the same, and transportation of goods by road for public service, washing, greasing, tires, and automobile repair, car rental with or without driver, motorhome rental, distribution, marketing, sale, and repair of all types of vehicles including industrial and agricultural, distribution, marketing, and sale of spare parts.  </w:t>
        <w:br/>
        <w:t xml:space="preserve">Following the analysis carried out in file 2530/04 of the SDC (Resolution of Expt. r 675/05, BAS/MAPFRE, of February 21, 2006, of the TDC), in the roadside assistance sector, two types of contractual relationships come into play: on one hand, those maintained by insurers with their insured, and on the other hand, those maintained by insurers with roadside assistance companies, which are the ones that actually provide the referred service. Therefore, two interconnected markets are distinguished: the roadside assistance insurance market and the roadside assistance service provision market.  </w:t>
        <w:br/>
        <w:t xml:space="preserve">In the roadside assistance insurance market, the supply is determined by the different insurance companies that offer roadside assistance insurance along with automobile clubs. The demanders of this market would be car owners.  </w:t>
        <w:br/>
        <w:t xml:space="preserve">Regarding the geographical scope, from the demand perspective, it would be national, since when contracting roadside assistance insurance, each driver contracts with a company that, in most cases, is established at the national level since the incident can occur anywhere in Spain.  </w:t>
        <w:br/>
        <w:t xml:space="preserve">From the supply perspective, it is national, since although it is true that the insurance sector is one of the most harmonized through European Directives, national peculiarities still exist that prevent considering a European geographical market.  </w:t>
        <w:br/>
        <w:t xml:space="preserve">In the roadside assistance service provision market, the ultimate demanders would be drivers who suffer a breakdown in their vehicle, although they channel their demand through the companies with which they have subscribed a roadside assistance coverage policy. The supply is made up of the companies providing roadside assistance services, which are the ones that actually perform the service.  </w:t>
        <w:br/>
        <w:t xml:space="preserve">Regarding the geographical scope, from the demand perspective, it is determined by the insured who have some incident with their vehicle, so the market would be local, as individuals within a locality can choose between different roadside assistance companies implicitly through their insurers.  </w:t>
        <w:br/>
        <w:t xml:space="preserve">From the supply perspective, the companies providing roadside assistance services operate in a geographical area marked by the insurer that subcontracts them. The market will be local, considering an urban roadside assistance and rescue service since, as observed in some contracts, in case of an incident, it is necessary that the response time does not exceed 45 minutes (folio 168; folio 483; folio 929).  </w:t>
        <w:br/>
        <w:t xml:space="preserve">There is also a Plus Hour of Waiting in the mechanical assistance and towing rates according to which it will be paid as long as the collaborator has arrived at the vehicle's location in 45 minutes or less (folio 409). It is also noted in other contracts that the arrival time to assist the customer should not exceed 60 minutes, unless the reason for the delay is specific and extraordinary circumstances (folio 902). However, the exact geographical scope of this market is difficult to pinpoint since there may be overlaps in the areas of operation of the different roadside assistance companies contracted by an insurer.  </w:t>
        <w:br/>
        <w:t>Regarding the relative importance of the companies in these two interconnected markets, as a first approximation, the information provided by the DGSFP can be taken, which indicates that, in the field of "assistance to people who find themselves in difficulties during travel or absences from their home or permanent residence," the heading for which it has data that it considers most approximate to roadside assistance, the main insurers by volume of premiums in Spain in 2008 were:</w:t>
      </w:r>
    </w:p>
    <w:p>
      <w:r>
        <w:rPr>
          <w:b/>
        </w:rPr>
        <w:t>[Pages 7–9]</w:t>
      </w:r>
    </w:p>
    <w:p>
      <w:r>
        <w:t xml:space="preserve">NATIONAL COMPETITION COMMISSION  </w:t>
        <w:br/>
        <w:t xml:space="preserve">Santa Lucía (25.59%) and Mutua Madrileña (21.94%), followed by Ocaso, Europ Assistance, and Mapfre, with shares not exceeding 9% each (folios 1050 to 1051). The DGSFP states that it does not have data at the provincial or regional level for the assistance branch, as these are not data that insurance entities are required to submit through statistical accounting documentation (folio 1098).  </w:t>
        <w:br/>
        <w:t xml:space="preserve">Secondly, according to ICEA (folio 1082), as of December 2008, out of a total of 37 insurance entities with "assistance platform," the top 10 were Mapfre Asistencia, Santa Lucía, Mutua Madrileña, Mondial Assistance Europe, Aside Asistencia, Europ Assistance, Inter Partner, Universal Asistencia, Unacsa, and Ocaso.  </w:t>
        <w:br/>
        <w:t xml:space="preserve">Thirdly, based on various requests made by the Investigation Directorate to insurance companies with roadside assistance services and similar, the following information was gathered regarding their own shares and those of their competitors:  </w:t>
        <w:br/>
        <w:t xml:space="preserve">Mondial Assistance claims that it does not have data on market shares of its competitors (folio 1083). It provides a list of services rendered monthly and incidents occurred monthly in 2008 and 2009 (folios 1170 and 1171 and confidential folios 1084 and 1172 to 1184).  </w:t>
        <w:br/>
        <w:t xml:space="preserve">Ocaso claims that it does not market insurance that guarantees the provision of roadside assistance services (folios 231 and 1085).  </w:t>
        <w:br/>
        <w:t xml:space="preserve">Mapfre Asistencia (folio 1086) claims that it does not market insurance that includes roadside assistance coverage. In light of this response, the Investigation Directorate requested Mapfre Familia (folios 1090 to 1093), which responded (folios 1119 to 1124) that 92.7% of its policies include roadside assistance coverage and suggested to the Investigation Directorate to gather the shares from the other insurance entities. In response to a new request from the Investigation Directorate, Mapfre Familia provided the number of services rendered, number of incidents, and premiums accrued, by provinces, in 2008 and 2009 (folio 1185 and 1186 and confidential folios 1189 to 1191).  </w:t>
        <w:br/>
        <w:t xml:space="preserve">ARAG explains that it is mainly dedicated to legal defense insurance and that roadside assistance services constitute a small part of its activity, so it does not have a study that allows it to estimate the shares of its competitors (folios 1094 and 1095). However, it provides its billing data, incidents, and services rendered in 2008 and 2009 by provinces (confidential folios 1096, 1097, 1559 to 1648 and 1159 to 1648).  </w:t>
        <w:br/>
        <w:t xml:space="preserve">Inter Partner Assistance España estimates that the main national roadside assistance operators are (folio 1089) Mapfre 21%, RACC 14%, Asitur 11%, and others with shares below 10%. It also provides its data on incidents and monthly services rendered in 2008 and 2009 by provinces (confidential folios 1192 to 1526).  </w:t>
        <w:br/>
        <w:t xml:space="preserve">Europ Assistance (folio 1106) estimates that its national share is 7% and provides the number of services rendered, incidents occurred, and premiums accrued, monthly and by province, in 2008 and 2009 (folios 1527 and confidential folios 1528 to 1551).  </w:t>
        <w:br/>
        <w:t>Santa Lucía claims that it does not market any type of insurance that guarantees the provision of roadside assistance services (folios 232 and 1131).</w:t>
      </w:r>
    </w:p>
    <w:p>
      <w:r>
        <w:t xml:space="preserve">NATIONAL COMPETITION COMMISSION  </w:t>
        <w:br/>
        <w:t xml:space="preserve">Universal Asistencia (Grupo RACC) provides the number of services rendered, incidents occurred, and premiums accrued, by provinces, during the years 2008 and 2009 (confidential folios 1155 to 1164).  </w:t>
        <w:br/>
        <w:t xml:space="preserve">17. The Proposal for Filing considers the following as FACTS:  </w:t>
        <w:br/>
        <w:t xml:space="preserve">17.1. Formalization of the provision of roadside assistance services  </w:t>
        <w:br/>
        <w:t xml:space="preserve">Most insurance companies and roadside assistance service provider companies consulted formalize their contractual relationships through contracts or collaboration agreements, although there are exceptions where relationships are established verbally (folio 154; folios 456 to 459, folio 456), with no contracts signed with roadside assistance companies (folio 154; folio 229; folio 298; folio 456) or simply the insurance companies provide the applicable rates to their roadside assistance service providers by years and distinguishing between type of vehicle and service rendered (folio 229; folio 456; folio 460 to 468).  </w:t>
        <w:br/>
        <w:t xml:space="preserve">17.2. Exclusivity  </w:t>
        <w:br/>
        <w:t xml:space="preserve">No exclusivity in the provision of roadside assistance services has been established (folio 6; folio 154; folio 164; folio 204; folio 234; folio 298).  </w:t>
        <w:br/>
        <w:t xml:space="preserve">The only exception is UNACSA in the Community of Madrid (folio 204).  </w:t>
        <w:br/>
        <w:t xml:space="preserve">Furthermore, negotiations are conducted individually with each of the roadside assistance providers.  </w:t>
        <w:br/>
        <w:t xml:space="preserve">17.3. Branding  </w:t>
        <w:br/>
        <w:t xml:space="preserve">Branding consists of labeling the roadside assistance vehicles of subcontracted roadside assistance companies with the logo of the insurance entity.  </w:t>
        <w:br/>
        <w:t xml:space="preserve">According to the insurance companies, there is no obligation to brand the roadside assistance vehicles with the entity's logo (folio 6; folio 154; folio 165; folio 204; folio 229; folio 235; folio 298).  </w:t>
        <w:br/>
        <w:t xml:space="preserve">This information is not entirely consistent with the responses provided by the roadside assistance service provider companies, according to which there is an obligation to brand the vehicles with the logo of some insurance companies. However, this information could not be verified, in some cases because the towing companies do not provide the contracts or any other proof in which this obligation is reflected, and in other cases because the towing companies accuse certain insurance companies with which they have not signed any contract.  </w:t>
        <w:br/>
        <w:t xml:space="preserve">17.4. Roadside assistance services and prices  </w:t>
        <w:br/>
        <w:t>In the following confidential table, the prices paid by insurers to roadside assistance service providers for the most representative services in 2008 are compared:</w:t>
      </w:r>
    </w:p>
    <w:p>
      <w:r>
        <w:t xml:space="preserve">NATIONAL COMPETITION COMMISSION  </w:t>
        <w:br/>
        <w:t xml:space="preserve">Table 1 confidential. PRICES IN EUROS OF ASSISTANCE SERVICES IN 2008  </w:t>
        <w:br/>
        <w:t xml:space="preserve">SERVICES SERVICE EXIT KILOMETER RESCUE CUSTODY SUPPLEMENT  </w:t>
        <w:br/>
        <w:t xml:space="preserve">[ (cid:9) ]70  </w:t>
        <w:br/>
        <w:t xml:space="preserve">GRUAS JESUS [(cid:9) ] E. (cid:9) 1 E. (cid:9) 1 [ (cid:9) ]  </w:t>
        <w:br/>
        <w:t xml:space="preserve">AGUILAR [ (cid:9) 1%  </w:t>
        <w:br/>
        <w:t xml:space="preserve">[(cid:9) ] E. (cid:9) 1 [ (cid:9) ] [ (cid:9) ] [ (cid:9) ]  </w:t>
        <w:br/>
        <w:t xml:space="preserve">GRUAS MAESTRE [...1 [(cid:9) ] [ (cid:9) ] [ (cid:9) ] E (cid:9) 1 [ (cid:9) 1%  </w:t>
        <w:br/>
        <w:t xml:space="preserve">[(cid:9) ]0/.  </w:t>
        <w:br/>
        <w:t xml:space="preserve">[...1 E...] E. (cid:9) 1 [(cid:9) ] [(cid:9) • (cid:9) ]  </w:t>
        <w:br/>
        <w:t xml:space="preserve">GRUAS E...] [...1 [ (cid:9) .1 [ (cid:9) ] ___ [ (cid:9) ]%  </w:t>
        <w:br/>
        <w:t xml:space="preserve">OJEMBARRENA [(cid:9) ] E. (cid:9) 1 [ (cid:9) ] E (cid:9) 1 E (cid:9) • (cid:9) 1 E (cid:9) 1%  </w:t>
        <w:br/>
        <w:t xml:space="preserve">___ E (cid:9) 1 [...]%  </w:t>
        <w:br/>
        <w:t xml:space="preserve">[ (cid:9) ] [ (cid:9) ] [ (cid:9) ] . (cid:9)  </w:t>
        <w:br/>
        <w:t xml:space="preserve">[ , ]%  </w:t>
        <w:br/>
        <w:t xml:space="preserve">TALLERES E...] E. (cid:9) 1 [(cid:9) ] [•• (cid:9) ]  </w:t>
        <w:br/>
        <w:t xml:space="preserve">WENCESLAO  </w:t>
        <w:br/>
        <w:t xml:space="preserve">[(cid:9) ] E. I [(cid:9) 1 E [(cid:9) ]%  </w:t>
        <w:br/>
        <w:t xml:space="preserve">[(cid:9) [cm (cid:9) i%  </w:t>
        <w:br/>
        <w:t xml:space="preserve">TALLERES --- 1...] [(cid:9) ] E• (cid:9) .1  </w:t>
        <w:br/>
        <w:t xml:space="preserve">SARRIÓN  </w:t>
        <w:br/>
        <w:t xml:space="preserve">GRUAS GARCIA Y (...1 [...1 E. (cid:9) 1 1. .1%  </w:t>
        <w:br/>
        <w:t xml:space="preserve">[ (cid:9) ] [ (cid:9) ]  </w:t>
        <w:br/>
        <w:t xml:space="preserve">OLIVARES  </w:t>
        <w:br/>
        <w:t xml:space="preserve">[(cid:9) •] [(cid:9) ] [ (cid:9) ] E- (cid:9) 1 E...] [(cid:9) ]%  </w:t>
        <w:br/>
        <w:t xml:space="preserve">GRUAS Y [(cid:9) ] E (cid:9) 1 [(cid:9) ] [(cid:9) ] E(cid:9) 1%  </w:t>
        <w:br/>
        <w:t xml:space="preserve">TALLERES  </w:t>
        <w:br/>
        <w:t xml:space="preserve">E(cid:9) 1 [(cid:9) 1 [...1 [(cid:9) ] ]%  </w:t>
        <w:br/>
        <w:t xml:space="preserve">CASTMART [ (cid:9)  </w:t>
        <w:br/>
        <w:t xml:space="preserve">GRUAS Y ( (cid:9) I (...1 E (cid:9) 1 [...1 E (cid:9) - (cid:9) 1 [... 1%  </w:t>
        <w:br/>
        <w:t xml:space="preserve">ESGUACES LÓPEZ (cid:9) (cid:9)  </w:t>
        <w:br/>
        <w:t xml:space="preserve">[(cid:9) ] E ] [ ] [(cid:9) ] [(cid:9) ] [ • ]%  </w:t>
        <w:br/>
        <w:t xml:space="preserve">Source: own elaboration based on the information provided by the insurance and roadside assistance companies requested (folios 425, 426, 427, 434, 460, 461, 462, 463, 464, 465, 466, 468, 475, 478, 489, 495, 496, 497, 498, 499, 508, 514, 537, 562, 574, 578, 580, 774).  </w:t>
        <w:br/>
        <w:t xml:space="preserve">From the above table, it can be deduced that the rates applied to the same roadside assistance company for a certain service by different insurance companies are disparate, just as the rates that the same insurance company applies for the same service to different subcontracted roadside assistance service providers are.  </w:t>
        <w:br/>
        <w:t>18. The Council of the National Competition Commission deliberated on the Proposal for Filing and issued this Resolution in its meeting of November 30, 2011.</w:t>
      </w:r>
    </w:p>
    <w:p>
      <w:r>
        <w:rPr>
          <w:b/>
        </w:rPr>
        <w:t>[Pages 10–12]</w:t>
      </w:r>
    </w:p>
    <w:p>
      <w:r>
        <w:t xml:space="preserve">NATIONAL COMPETITION COMMISSION  </w:t>
        <w:br/>
        <w:t xml:space="preserve">LEGAL GROUNDS  </w:t>
        <w:br/>
        <w:t xml:space="preserve">First.- Article 49.1 of the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Directorate of Investigation, shall agree not to initiate sanctioning proceedings and, consequently, to file the actions taken when it considers that there are no indications of infringement.  </w:t>
        <w:br/>
        <w:t xml:space="preserve">Therefore, the purpose of this Resolution is to determine whether the Proposal for Filing formulated by the Directorate of Investigation is in accordance with the Law, as no reasonable indications of infringement of Articles 1 and 3 of the LDC are observed in the actions taken by the instructing body.  </w:t>
        <w:br/>
        <w:t xml:space="preserve">Second.- Firstly, the Directorate of Investigation has analyzed whether the facts recorded in Background Fact 17 of this Resolution could present indications of infringement of the prohibition of abuse of dominant position in the contracting of roadside assistance vehicles.  </w:t>
        <w:br/>
        <w:t xml:space="preserve">Article 2 of the LDC prohibits "the abusive exploitation by one or more companies of their dominant position in all or part of the national market." The application of this article requires the concurrence of two cumulative requirements: that a company has a dominant position in the market defined as relevant and that its conduct is abusive.  </w:t>
        <w:br/>
        <w:t xml:space="preserve">The Council agrees with the Directorate of Investigation that two related markets are relevant in this case: 1) the roadside assistance insurance market, offered by insurance companies and demanded by car owners, and 2) the provision of roadside assistance services (which is the upstream of the former and in which the infringement analyzed is supposedly occurring), formed by insurers that include roadside assistance in their car insurance, on the demand side, and by the companies that actually provide this service, on the supply side.  </w:t>
        <w:br/>
        <w:t xml:space="preserve">Regarding the relevant geographical scope, the roadside assistance insurance market is of national dimension. Most insurance companies operate throughout the national territory, regardless of the domicile of the policyholder or the insured and the place where the insured service must be provided. Furthermore, from the supply perspective, it is national, as there are still national peculiarities in the insurance sector that prevent considering a European geographical market.  </w:t>
        <w:br/>
        <w:t xml:space="preserve">As for the market for the provision of roadside assistance services, it is common practice for insurers to ensure that in the event of an incident, the insured receives assistance quickly, hence both the demand and supply have a local character.  </w:t>
        <w:br/>
        <w:t xml:space="preserve">Concerning the position of insurers in the roadside assistance insurance market, the information gathered by the Directorate of Investigation indicates that: (i) all insurers operate in all Spanish provinces; (ii) each contracts in each province with various roadside assistance service provider companies; and (iii) although there is no exact information on their market shares, the information gathered in the investigative proceedings (from the insured companies, the DGSFP, and ICEA) suggests that none has a dominant position, either nationally or in the provinces where they operate.  </w:t>
        <w:br/>
        <w:t xml:space="preserve">On the other hand, there are also no indications in the file that the conduct of insurers is abusive with respect to the companies providing roadside assistance services. In general, (i) there is no exclusivity in the relationships between insurers and service provider companies; (ii) there is no evidence of a unilateral imposition of prices by insurers on service provider companies; (iii) it is not clear that there is an obligation of branding, and in any case, it would only occur on the part of some insurers (ASITUR) over some service providers. But even if such an obligation existed, there is no evidence that it is exclusive, and moreover, there is a lack of evidence in some cases because service provider companies do not provide contracts or any other proof in which such an obligation is reflected, and in other cases, because service provider companies accuse certain insurance companies with which they have not signed any contract.  </w:t>
        <w:br/>
        <w:t xml:space="preserve">Therefore, in light of the available information, the Council agrees with the Directorate of Investigation that there are no indications that any of the insurers individually may be committing an infringement of Article 2 of the LDC, nor can a collective or agreed dominance among the insurers be appreciated since, based on the available information, they act independently, applying different conditions to the service provider companies with which each contracts.  </w:t>
        <w:br/>
        <w:t xml:space="preserve">Third.- Secondly, the Directorate of Investigation analyzed the statements of some roadside assistance service providers that the rates of certain insurers are below the average cost of the service, or that there is a sale at a loss in the roadside assistance sector, under the prohibition established by Article 3 of the LDC: "The National Competition Commission or the competent bodies of the Autonomous Communities shall know, in the terms established by this Law for prohibited conduct, of acts of unfair competition that, by distorting free competition, affect the public interest."  </w:t>
        <w:br/>
        <w:t xml:space="preserve">In this regard, citing doctrine from the now-defunct TDC, the Directorate of Investigation analyzes the conduct of insurers from the perspective of the prohibition of selling at a loss as an act of unfair competition established in Article 17.2 of Law 3/1991, on Unfair Competition, concluding that none of the assumptions that according to that provision allows qualifying the sale at a loss as an act of unfair competition are met, so it would not be necessary to analyze the concurrence of the other requirement that Article 3 of the LDC demands: that the act of unfair competition distorts free competition by affecting the public interest.  </w:t>
        <w:br/>
        <w:t xml:space="preserve">The Council does not share this methodology of analyzing the concurrence of the requirements for the application of Article 3 of the LDC, as it is contrary to its reiterated doctrine. The application of the Unfair Competition Law corresponds to the Courts of Justice, and the Competition Authority is only empowered to make a reproach of unfair competition when the conduct being judged, given the legal and economic context in which it occurs, is apt to restrict effective competition in the market, which is the public interest protected by the LDC. Consequently, in the face of a complaint of infringement of Article 3 of the LDC, the instructing body must analyze, first of all, the concurrence of the requirement of affecting the public interest, taking into account factors such as the nature of the conduct, the structure of the market, the good or service affected, etc.; that is, the affected legal and economic context, so that if after this analysis no indications are appreciated that the conduct is apt to distort effective competition, it is not only superfluous to carry out a legal qualification of the conduct from the perspective of the Law against unfair competition, but such qualification lacks all legal relevance to the extent that the requirement enabling the Competition Authority to sanction acts of unfair competition does not concur.  </w:t>
        <w:br/>
        <w:t xml:space="preserve">In this sense, the now-defunct TDC has pronounced in previous files (Resolution of December 4, 1998, Expte. r332/98, Porvasal) and this Council which, among others, in the Resolution of March 11, 2008, stated: "Therefore, since the Council agrees with the Directorate of Investigation that the complaint does not reveal that there are indications of a significant impact on competition nor, therefore, on the relevant public interest for the purposes of Article 3 LDC, no analysis of the reported conduct from the perspective of the Law against unfair competition is warranted, which would be futile for the purposes of the prohibition contained in Article 3 LDC regardless of the outcome of that legal qualification." (Expte. S/0041/08, TuBillete). As also the Third Section of the Contentious-Administrative Chamber of the National Court, among others, in the Judgment of September 11, 2008 (Appeal No. 488/2006): "In the case under review, regardless of the qualification that both in the field of Law 9/1992 on Private Insurance Mediation and in that of Law 3/1991 on Unfair Competition (in the first case it is the competence of the Directorate General of Insurance and in the second of civil jurisdiction) must examine whether that relevant public dimension concurs. From the reading of the writings of the plaintiff, as well as from the proceedings, that relevant public dimension does not result, because in the opinion of this Chamber it does not (...) appreciate based on the number of affected companies, the volume of their business, or the significance of their activities." See also the SAN of June 3, 2011 (Appeal No. 144/2008, FD 4°).  </w:t>
        <w:br/>
        <w:t xml:space="preserve">In the case at hand, having ruled out the existence of a dominant position —individual or collective— by the insurers operating in this line of activity based on the available information in the file, and also noting that there is no unilateral imposition of prices by them and, on the contrary, that there is disparity in the prices applied to the same roadside assistance company for a specific service by different insurance companies, as well as in the rates that the same insurance company applies for the same service to different subcontracted roadside assistance service provider companies, it can be concluded that the necessary circumstances for any potential conduct of unfair competition of selling at a loss to affect effective competition in the market do not concur and, therefore, incur in the prohibition contained in Article 3 of the LDC.  </w:t>
        <w:br/>
        <w:t>In light of the above, and considering the cited provisions and those of general application, the Council of the National Competition Commission.</w:t>
      </w:r>
    </w:p>
    <w:p>
      <w:r>
        <w:rPr>
          <w:b/>
        </w:rPr>
        <w:t>[Pages 13–13]</w:t>
      </w:r>
    </w:p>
    <w:p>
      <w:r>
        <w:t xml:space="preserve">NATIONAL COMPETITION COMMISSION  </w:t>
        <w:br/>
        <w:t xml:space="preserve">HAS RESOLVED  </w:t>
        <w:br/>
        <w:t xml:space="preserve">SOLE.- Not to initiate sanctioning proceedings and to file the actions initiated ex officio by the Directorate of Investigation under file number S/0350/11 in relation to the actions of various insurance companies with roadside assistance services.  </w:t>
        <w:br/>
        <w:t>This Resolution shall be communicated to the Directorate of Investigation, the Ministry of Development, the Business Association of the Valencian Community for Road Assistance (AECVAC), and the National Association of Companies Specialized in Rescue - Assistance for Broken-Down - Accidents Vehicles (ANERVA), as well as to the companies Mondial Assistance Europe NV Branch in Spain; Mapfre Familiar Compañía de Seguros y Reaseguros SA; Inter Partner Assistance España SA; Europe Assistance España SA de Seguros y Reaseguros; Universal Asistencia de Seguros y Reaseguros SA (Grupo RACC); Arag Compañía Internacional de Seguros y Reaseguros SAU; Ocaso SA Compañía de Seguros y Reaseguros; Santa Lucía SA Compañía de Seguros y Reaseguros; Unión de Automóviles Clubs de Seguros y Reaseguros SA (UNACSA); Elviaseg SA, de Seguros y Reaseguros de Riesgos Diversos, Sociedad Unipersonal (ELVIA); and Real Automóvil Club de Cataluña (RACC), informing them that this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