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https://www.cnmc.es/expedientes/s035111</w:t>
      </w:r>
    </w:p>
    <w:p>
      <w:r>
        <w:t>Pages translated : 8</w:t>
      </w:r>
    </w:p>
    <w:p/>
    <w:p>
      <w:r>
        <w:rPr>
          <w:b/>
        </w:rPr>
        <w:t>[Pages 1–3]</w:t>
      </w:r>
    </w:p>
    <w:p>
      <w:r>
        <w:t>JURISPRUDENCE</w:t>
        <w:br/>
        <w:t>Roj: SAN 769/2014 - ECLI: ES:AN:2014:769</w:t>
        <w:br/>
        <w:t>Id Cendoj: 28079230062014100122</w:t>
        <w:br/>
        <w:t>Body: National Court. Contentious Chamber</w:t>
        <w:br/>
        <w:t>Location: Madrid</w:t>
        <w:br/>
        <w:t>Section: 6</w:t>
        <w:br/>
        <w:t>Date: 28/02/2014</w:t>
        <w:br/>
        <w:t>Case Number: 39/2013</w:t>
        <w:br/>
        <w:t>Resolution Number:</w:t>
        <w:br/>
        <w:t>Procedure: CONTENTIOUS</w:t>
        <w:br/>
        <w:t>Rapporteur: CONCEPCION MONICA MONTERO ELENA</w:t>
        <w:br/>
        <w:t>Type of Resolution: Judgment</w:t>
        <w:br/>
        <w:t>JUDGMENT</w:t>
        <w:br/>
        <w:t>Madrid, on the twenty-eighth of February two thousand fourteen.</w:t>
        <w:br/>
        <w:t>Having seen the contentious administrative appeal filed before the Contentious Administrative Chamber of the National Court by the Spanish Federation of Recovery and Recycling, and in its name and representation by the Attorney Ms. Dª Aurora Gutiérrez Martín, against the State Administration, directed and represented by Mr. State Attorney, regarding the Resolution of the National Competition Commission dated November 29, 20012, relating to the archiving of actions, with Signus Ecovalor S.L. as Co-defendant, and in its name and representation by the Attorney Mr. Dº Eduardo Codes Feijoo, and the amount of the present appeal being indeterminate.</w:t>
        <w:br/>
        <w:t>FACTUAL BACKGROUND</w:t>
        <w:br/>
        <w:t>FIRST: A contentious administrative appeal is filed by the Spanish Federation of Recovery and Recycling, and in its name and representation by the Attorney Ms. Dª Aurora Gutiérrez Martín, against the State Administration, directed and represented by Mr. State Attorney, regarding the Resolution of the National Competition Commission dated November 29, 2012, requesting the Chamber to declare the nullity of the resolution in question and order the continuation of the proceedings.</w:t>
        <w:br/>
        <w:t>SECOND: The administrative file was requested and received, and it was transferred to the appellant for them to submit a statement of claim within the legal deadline, which they did in due time and form, alleging the facts and legal grounds they deemed appropriate, and requesting what is literally stated in the statement of claim.</w:t>
        <w:br/>
        <w:t>Within the legal deadline, the defendant administration also submitted a written response to the claim, opposing the plaintiff's request and alleging what it deemed appropriate for that purpose.</w:t>
        <w:br/>
        <w:t>THIRD: Having requested the taking of evidence, and having considered the documents reproduced and completed the conclusion phase, the proceedings were concluded and pending voting and judgment, for which it was agreed to set the date for February 18, two thousand fourteen.</w:t>
        <w:br/>
        <w:t>FOURTH: In the processing of this case, the legal provisions established in the Law of Contentious Administrative Jurisdiction, and in the other concordant and supplementary provisions thereof, have been observed.</w:t>
        <w:br/>
        <w:t>LEGAL GROUNDS</w:t>
        <w:br/>
        <w:t>FIRST: The object of the appeal in these proceedings is the Resolution of the Competition Defense Tribunal dated November 29, 2012.</w:t>
        <w:br/>
        <w:t>The Resolution in question declares in its dispositive part:</w:t>
        <w:br/>
        <w:t>"Based on Article 49.3 of Law 15/2007 on the Defense of Competition, not to initiate sanctioning proceedings and to archive the actions followed in file S/0351/11 SIGNUS ECOVALOR."</w:t>
        <w:br/>
        <w:t>The origin of the present resolution lies in the complaint filed on May 24, 2011, by the Spanish Federation of Recovery and Recycling, against SIGNUS and its founding partners BRIDGESTONE HISPANIA, S.A., CONTINENTAL TIRES, S.L., GOODYEAR DUNLOP TIRES ESPAÑA, S.A., MICHELIN ESPAÑA Y PORTUGAL, S.A., and PIRELLI NEUMÁTICOS, S.A., for alleged restrictive practices of competition. On July 27, 2011, a document was submitted to expand the initial complaint.</w:t>
        <w:br/>
        <w:t>SECOND: The Investigation Directorate made the following assessments regarding the reported conduct, as recorded in the contested Resolution:</w:t>
        <w:br/>
        <w:t>"36. The Investigation Directorate begins by analyzing the conduct under the scope of Article 2, and regarding the delimitation of relevant markets and the dominant position of SIGNUS ECOVALOR states:</w:t>
        <w:br/>
        <w:t>(87) "According to the Resolution of the CNC Council, dated June 10, 2009, S/2741/06 Signus Ecovalor, based on the Commission's Decision in the Eco-Emballages case, 'the market in which SIGNUS would operate would be that of the organization of the recovery and valuation of NFU', in which the other SIG, TNU, would also operate.</w:t>
        <w:br/>
        <w:t>'Additionally, there are two other markets related to the previous one:</w:t>
        <w:br/>
        <w:t>- the market for the production of tires, which includes individuals or legal entities that manufacture, import, or acquire tires in other EU member states and place them on the national market. In this market would be all producers affiliated with SIGNUS and TNU;</w:t>
        <w:br/>
        <w:t>- the waste management market constituted by those individuals or legal entities that carry out any operations of collection, storage, transportation, valuation, and disposal of NFU and that are authorized for this purpose, in which the companies represented by FER would be found; the complainant.</w:t>
        <w:br/>
        <w:t>(88) As recognized by the CNC Council in its Resolution of June 10, 2009, file S/2741/06 SIGNUS ECOVALOR, S.L., 'SIGNUS has a dominant position at the national level in the market for the organization of the recovery and valuation of NFU since it is the only entity authorized to organize the recovery and valuation of NFU in all Autonomous Communities and that the other entity, TNU, groups only 30% of the NFU in Spain.' In this sense, since SIGNUS has a dominant position in the market, it would be necessary to analyze whether SIGNUS has abused this position to assess whether it has incurred in a violation of Article 2LDC."</w:t>
        <w:br/>
        <w:t>37. It continues its assessment highlighting that SIGNUS, as a private entity, could freely contract with the companies it deemed appropriate for the management of the recovery and valuation of NFU, without necessarily having to opt, as it has done, to carry out, in most cases, public calls, which are a method more favorable to competition than direct awarding as they allow the participation of all interested companies. And that being a novel and complex activity, its organization has been modified over time as a result of the learning process by SIGNUS, which in the face of doubts or problems arising in the calls made and the demands of the managers, would have tried to adapt and modify the terms of the calls to eliminate restrictions and establish conditions more favorable to competition in the management market.</w:t>
        <w:br/>
        <w:t>38. It recalls that: "Regarding the calls for collection and classification of NU, it should be noted that the calls of February 2006 and May 2007 were analyzed by the CNC Council, in its Resolution of June 10, 2009, file S/2741/06 SIGNUS ECOVALOR, S.L., which considered that the way of contracting by SIGNUS 'is a transparent system (since the calls indicate the criteria for evaluating the offers), with an appearance of objectivity and allows the rotation of the collectors from one year to another, as indeed happened in 2007 in certain provinces. Additionally, technically it makes sense to grant more points to the collectors of SIGNUS who were already operating in the area and to those who offer additional services (classification and reuse tasks)."</w:t>
        <w:br/>
        <w:t>39. Regarding the specific elements reported concerning the calls for collection and classification of NU, the DI assesses that:</w:t>
        <w:br/>
        <w:t>a. "the limit of 25% is imposed by SIGNUS with the aim of avoiding concentration in the collection sector (paragraph 44). After the calls of 2006 and 2007, in the June 2011 call it was limited to modality 2 and in the last call (September 2011) it was eliminated, as it did not impose restrictions that could cause the call to be deserted again."</w:t>
        <w:br/>
        <w:t>b. "(...) the inclusion of the destination has been carried out exclusively in one of the four calls made (June 2011) and aims to facilitate the calculation of the economic offer that candidates must make, in addition to evaluating the best offers in economic and environmental terms (paragraphs 45-47)."</w:t>
        <w:br/>
        <w:t>40. Regarding the valuation calls, the duration of the contracts, and the frequency of the calls, it is estimated that these variables would be related to the "expiration of contracts already signed and in force with managers, resulting from previous awards." It adds: "However, it should be noted that the duration of the contracts set by SIGNUS has been increasing over time based on the existing management capacity in the market (paragraphs 48-52) up to three years in the latest call, which, in the opinion of the DI, would be a reasonable and objective term for the business strategy of the managers."</w:t>
        <w:br/>
        <w:t>41. On the valuation activity and the quantity of NFU offered in the valuation call of June 2011, the DI understands that as the various calls for the management activity have been organized separately (which it values positively from the perspective of promoting competition), it becomes more difficult for the quantities of NFU offered in the collection calls and in the valuation calls to coincide. And it explains that of the quantities of NU collected, a part is selected for reuse or retreading for the second-hand market and from the remaining quantity of NFU, a part is allocated to public management services, another to continue supplying managers with contracts in force (of CAP, shredding or material valuation) and another is put back out to call for awarding. And that "In this framework, and given that the contracts for collection and valuation, in their different modalities, have different durations (the collection contracts one year, the material valuation contracts six months, one or three years, the CAP contracts three and five years and exceptionally ten and the shredding contracts for energy valuation of several months) it is complicated for the volumes of NFU offered for collection and valuation to coincide." Therefore, the fact that the volumes offered in the different calls are different does not necessarily imply that SIGNUS is limiting the supply to the valuers.</w:t>
        <w:br/>
        <w:t>42. Regarding the interruption of supply due to excess production stock contemplated in some of the calls, this has never been applied, in addition to the fact that its purpose was to have a control instrument by SIGNUS over compliance with its obligations with the objectives of the PNIR regarding the limit quantities that must be subject to each possible application. The same interpretation applies to the alleged limitation of the source of supply, subject to the accreditation of sales and management capacity to award the NFU, included in the calls of 2010 and eliminated in 2011.</w:t>
        <w:br/>
        <w:t>43. The information required by SIGNUS from the NFU managers regarding the destination of the products (tons and percentages of each application) is contemplated by RD 1619/2005, of December 30 (articles 6 and 10, paragraph 26), and furthermore, this information does not include, in the opinion of the DI, data that could be considered trade secrets, except for the presentation of an agreement with an Associated Energy Valuer (VEA). In this latter case, the DI highlights that in the June 2011 call, SIGNUS required that such agreement be presented in March 2012, that is, after it awarded the NFU and therefore it could not have used it for that award. And regarding the information related to the execution of the contracts, which could imply obtaining confidential information, the DI concludes that this is carried out through independent third parties who sign confidentiality commitments with the managers, which, in its opinion, would constitute a procedure with sufficient guarantees of confidentiality.</w:t>
        <w:br/>
        <w:t>44. SIGNUS has been carrying out energy valuation itself, so that in the first two valuation calls of 2010 this form of valuation was excluded. This was because according to SIGNUS since this activity did not generate any income, but rather cost, its direct management was the way to ensure compliance with its destination. This tacit prohibition has been eliminated in the last call of June 2011, and having analyzed the data provided by SIGNUS up to 2009 SIGNUS has not received income from this type of award, still being a very unprofitable activity, with revenues being a tiny part of the costs of this activity. However, when the VEAs began to pay a price for the NFU, SIGNUS relaxed the conditions, changing the prohibition to a limitation on energy valuation in the 2011 call, which would be justified, in the opinion of the DI, by the decreasing percentages for this type of valuation established by the PNIR.</w:t>
        <w:br/>
        <w:t>45. The DI assesses that the fact that the auction system does not allow a manager to bid with the same plant for both material and energy valuation in the same area aims to have an auction in which bidders have the option to present any type of offer and the offers are comparable to each other. In fact, by auctioning entire areas, although they could have presented several types of offers, only one would have won, because they would be competing against themselves for the best economic offer. Additionally, SIGNUS has modified its system of awarding NFU in auctions or sealed awards for each type of valuation to an electronic auction system in which bidders can opt for both types of valuation, although ultimately they only submitted offers for material valuation (paragraphs 67-71).</w:t>
        <w:br/>
        <w:t>46. Regarding the complaint of SIGNUS's participation in the management market, the DI states that this is a conduct contemplated both by RD 1619/2005, of December 30, in its article 4.3, and by Law 22/2011, of July 28, in its article 31.2 (paragraphs 19 and 21-22), so that the participation of SIGNUS or its partners in the management market could not be interpreted as contrary to the regulations or as a conduct.</w:t>
      </w:r>
    </w:p>
    <w:p>
      <w:r>
        <w:rPr>
          <w:b/>
        </w:rPr>
        <w:t>[Pages 4–6]</w:t>
      </w:r>
    </w:p>
    <w:p>
      <w:r>
        <w:t>JURISPRUDENCE</w:t>
        <w:br/>
        <w:t>ultra vires. In fact, the second SIG, TNU, is composed of producers and managers who handle the majority of the NFU under their responsibility, being able to participate in any activity.</w:t>
        <w:br/>
        <w:t>47. Finally, regarding the elements reported concerning the marketing conditions established in the first calls for the awarding, by auction, of products derived from the treatment of NFU, specifically the bonus for the manufacture of bituminous mixtures and the possibility of return, in the opinion of the DI, they would be directly related to the obligation of SIGNUS, as a collective system of producers, to ensure that at least the ecological objectives established in the National NFU Plan are met, which includes a specific target for this purpose (40% in 2008, 42% in 2012, and 45% in 2015).</w:t>
        <w:br/>
        <w:t>48. The DI ultimately concludes that, in light of all the above, and generally speaking, the conditions unilaterally imposed by SIGNUS in its calls and contracts are objective and non-discriminatory, and that some of them derive from its obligations under current legislation. Furthermore, given that it is a new and complex market, SIGNUS has been evolving and modifying the conditions of the calls as the market has evolved, adapting to the situation of the managers and responding to their demands. In fact, the duration of the contracts has been extended (paragraphs 49-52), the limitation of the supply source has been restricted to the possibility of interrupting the supply due to excess stock (paragraph 60), and the marketing possibilities have been expanded, allowing for energy recovery (paragraph 66).</w:t>
        <w:br/>
        <w:t>49. Regarding the possible impact of the actions of the producers through SIGNUS in the upstream market of tire production, the DI assesses that it is presumed that a reduction in the fee could lower the prices that consumers would have to pay for tires and could encourage their demand compared to the tires of producers associated with another SIG, whose fee is higher. However, it then points out that there is no evidence of this, nor can the illegality of such a fee reduction be presumed as a result of the efficiency gains achieved in the organization and management market (without abusing its dominant position); the result would not be illegal, as the complainant seems to indicate (folio 24), but would be precisely the outcome sought by competition defense policy, the efficient allocation of resources that benefits the final consumer.</w:t>
        <w:br/>
        <w:t>50. Therefore, the DI does not perceive elements of inequity or lack of justification in the conditions that SIGNUS has been including in its tenders or in its contracts with the managers that are part of FER.</w:t>
        <w:br/>
        <w:t>51. Regarding a possible infringement of Article 1 LDC, the DI estimates that "There is no evidence of action by the founding partners of SIGNUS to influence the decisions and organization of the managing entity in such a way that they could extract some benefit (paragraph 31). It is also not observed that the founding partners have entered the NFU management market, although there are interrelations with this market, as in the case of Goodyear Dunlop Tires España, S.A., which manufactures rubber-derived products for automobiles (paragraphs 31 and 34). However, there are no indications that the reported tire producers have engaged in collusive practices, as it is evident that their participation in the market is through SIGNUS, as permitted by current legislation."</w:t>
        <w:br/>
        <w:t>The reasoning contained in the contested Resolution is as follows:</w:t>
        <w:br/>
        <w:t>"The Council agrees with the Investigation Directorate in its assessment of the lack of indications of an infringing conduct of the LDC by SIGNUS. Starting from the dominant position that SIGNUS holds in the organization of the recovery and valuation of end-of-life tires, no exploitative elements are perceived in the individual behaviors reported, nor do the lines of argument of the complaint seem to indicate such abuse. These are behaviors in which, given the nature that the complainant attributes to some of them, they could, in any case, have potential exclusionary effects (limitation of supply, insufficient or excessive contract durations, impossibility of dual offers, scarcity of supply, sensitive and asymmetric commercial information,...). However, the magnitude, frequency, and scope of the reported facts do not allow for the perception of an exclusionary nature in the conduct. In others, there are not even hints of that certain potential for exclusion, since, as the DI points out, nothing prevents SIGNUS from marketing products derived from the recovery and valuation process, and in others, it may be forms of incentivizing a level of consumption of such products determined by regulation. There is also no evidence, from the information contained in the file, of an exclusionary capacity of the joint, successive, and cumulative application of this type of conduct, nor have the complainants provided any indication of this. Regarding the assessment of the possible infringement of Article 1 of the LDC, this Council shares that made by the Investigation Directorate."</w:t>
        <w:br/>
        <w:t>The legal basis that justifies the previous assessment is as follows:</w:t>
        <w:br/>
        <w:t>JURISPRUDENCE</w:t>
        <w:br/>
        <w:t>"Article 2 LDC prohibits the abusive exploitation by one or more companies of their dominant position in all or part of the national market. The abuse may consist, among others, of: the direct or indirect imposition of prices or other unfair commercial or service conditions; the limitation of production, distribution, or technical development to the unjustified detriment of companies or consumers; the unjustified refusal to satisfy purchase demands for products or service provision. Article 1 LDC prohibits any agreement, decision, or collective recommendation, or concerted or consciously parallel practice, that has as its object, produces, or may produce the effect of preventing, restricting, or distorting competition in all or part of the market.</w:t>
        <w:br/>
        <w:t>The Investigation Directorate starts from the already proven existence of a dominant position that SIGNUS has in the market for the organization of the recovery and valuation of NFU, accredited in previous files, and from that position analyzes each of the behaviors that the complaint considers contrary to the LDC. In each of them, the DI either does not observe a restrictive nature, or finds that in any case such conduct would be justified, either due to the obligations that SIGNUS has, derived from the responsibilities of its founding partners, regarding certain objectives set in the PNIR, or for reasons of economic efficiency in the management of the process, or because nothing prevents SIGNUS from operating competitively in the same markets in which the managers operate. And regarding the insinuated infringement of Article 1 of the LDC, there are no indications, in the information contained in the instructed file, even hints of the possible existence of any type of agreement among the new tire producers, founding partners of SIGNUS. For those reasons, it proposes the archiving."</w:t>
        <w:br/>
        <w:t>THIRD: Prior to analyzing the substantive issue, we must focus on a preliminary issue: the standing denied by the State Attorney.</w:t>
        <w:br/>
        <w:t>We have repeatedly recognized active standing to the complainant in cases of conduct that infringes free competition by acknowledging legitimate interest - Article 19.1 a) of Law 29/1998 - in which such conduct is declared and its cessation is ordered. Let us not forget that the ruling of the CNC goes beyond the imposition of a sanction - Article 53 of Law 15/2007 - and includes the declaration of conduct contrary to free competition, the order for cessation, the imposition of conditions, the order to remove the consequences... There is thus an impact on the legal situation of the complainant by the ruling of the CNC that grants it active standing.</w:t>
        <w:br/>
        <w:t>The co-complaint alleges procedural deviation, as the request seeks the initiation of sanctioning proceedings but not the annulment of the contested Resolution. It is evident that from a joint interpretation of the request and the content of the complaint, it is clear that the request of the appellant consists of both the annulment of the archiving and the initiation of sanctioning proceedings. Therefore, there is no procedural deviation.</w:t>
        <w:br/>
        <w:t>It is also not intended that the Chamber substitute the competencies of the Administration, but rather the legality of the decision adopted by the CNC regarding the archiving and consequent end of the investigation into possible restrictive practices of competition.</w:t>
        <w:br/>
        <w:t>The examination of the legal scope of the concurrent facts involves the analysis of two provisions, essential in resolving the present case:</w:t>
        <w:br/>
        <w:t>Article 2 of Law 15/2007 establishes: "1. The abusive exploitation by one or more companies of their dominant position in all or part of the national market is prohibited.</w:t>
        <w:br/>
        <w:t>2. The abuse may consist, in particular, of:</w:t>
        <w:br/>
        <w:t>a) The direct or indirect imposition of prices or other unfair commercial or service conditions.</w:t>
        <w:br/>
        <w:t>b) The limitation of production, distribution, or technical development to the unjustified detriment of companies or consumers.</w:t>
        <w:br/>
        <w:t>c) The unjustified refusal to satisfy purchase demands for products or service provision.</w:t>
        <w:br/>
        <w:t>d) The application, in commercial or service relationships, of unequal conditions for equivalent services, placing some competitors at a disadvantage compared to others.</w:t>
        <w:br/>
        <w:t>e) The subordination of the conclusion of contracts to the acceptance of supplementary services that, by their nature or according to commercial practices, are not related to the object of such contracts."</w:t>
        <w:br/>
        <w:t>B) Article 1 of the same Legal Text establishes: "1.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w:t>
        <w:br/>
        <w:t>a) The direct or indirect fixing of prices or other commercial or service conditions.</w:t>
        <w:br/>
        <w:t>b) The limitation or control of production, distribution, technical development, or investments.</w:t>
        <w:br/>
        <w:t>c) The division of the market or sources of supply.</w:t>
        <w:br/>
        <w:t>d) The application, in commercial or service relationships, of unequal conditions for equivalent services that place some competitors at a disadvantage compared to others.</w:t>
        <w:br/>
        <w:t>e) The subordination of the conclusion of contracts to the acceptance of supplementary services that, by their nature or according to commercial practices, are not related to the object of such contracts."</w:t>
        <w:br/>
        <w:t>The sanctioned type in Article 2 is the abuse of a dominant position, which presupposes two elements: the existence of a dominant position in the relevant market and the abuse of such position or dependence.</w:t>
        <w:br/>
        <w:t>The behaviors that are considered abusive and are specified in the provision itself are merely illustrative, as the essential element is that the conduct is effectively abusive even if it does not correspond to any of the cases indicated by the norm. The infringing type does not require that the purpose of violating free competition be achieved; it is sufficient that the conduct is objectively capable of achieving such an end, whether it succeeds or not.</w:t>
        <w:br/>
        <w:t>We have repeatedly pointed out that from Article 1 it follows: a) The prohibited activity is any agreement or concerted conduct in any of its forms aimed at distorting free competition. b) The infringing type does not require that the purpose of violating free competition be achieved; it is sufficient that it is aimed at that end in the execution of the conduct, whether it succeeds or not. c) The conduct must be capable of preventing, restricting, or distorting competition in all or part of the national market.</w:t>
        <w:br/>
        <w:t>First, we must remember that the CNC exercises its powers as a supervisor of free competition, so it is necessary that the examined conduct has the potential to affect free competition. Therefore, any abuse of a dominant position must be capable of restricting, distorting, or affecting free competition.</w:t>
        <w:br/>
        <w:t>The behaviors that the appellant claims to be abusive are:</w:t>
        <w:br/>
        <w:t>1.- Prohibition of energy recovery. Regarding this conduct, the DI understood that SIGNUS justifies the direct assumption until June 2011 of the responsibility for the delivery of NFU to cement plants and their transport from the crushing site, indicating that it is a necessary mechanism to verify that the delivery was effectively made, given that SIGNUS had to pay a price (not charge) for the NFU to be subjected to energy recovery. From the moment, approximately in mid-2009, when cement plants begin to pay for the NFU for their recovery, the revenues of the awardees are not completed until they have received that payment. According to SIGNUS, this guarantees that the crushers will deliver the NFU to the cement plants, hence the June 2011 call contemplates the possibility that the crushers do not act in a maquila relationship, but rather that they themselves market the crushed product with the cement plants (folios 604-606). With the June 2011 call, SIGNUS initiates a new selection procedure in which it allows the recoverers to allocate the NFU to energy recovery and maintains SIGNUS's participation in the direct marketing of the NFU to cement plants. In particular, at this date, it makes a call for the awarding, by auction, of the estimated volume of tons of NFU that will be generated in the different collection areas, in which three types of offers are allowed (folio 1563):</w:t>
        <w:br/>
        <w:t>- type 1: material recovery, including the awarding to a final applicator of the product resulting from the recovery. The NFU awarded with this offer cannot be used for energy recovery applications.</w:t>
        <w:br/>
        <w:t>- type 2: energy recovery: both of whole NFU awarded directly in this auction and of crushed NFU (after SIGNUS has commissioned the crushing to a manager who will be selected in a competitive bidding process different from the present).</w:t>
        <w:br/>
        <w:t>- type 3: production of solid recovered fuel from NFU for supply (PCSR), which involves crushing the NFU and awarding them to an energy recoverer.</w:t>
        <w:br/>
        <w:t>Each offer will be for at least one complete area and will be linked to a treatment plant for the awarded NFU and to a type of offer. That is, to opt for the different types of offers with the same plant, one must choose an area for each type of offer (folio 1564).</w:t>
        <w:br/>
        <w:t>SIGNUS justifies this approach in the need to homogenize the offered lots: the areas constituted homogeneous lots that could not be divided at the time of awarding (folio 2521) and that it was possible to compare the offers. Furthermore, it could not award an amount of NFU for energy recovery (offers type 2 and 3) exceeding the limit set by the PNIR. Thus, for the first time, it allowed for</w:t>
      </w:r>
    </w:p>
    <w:p>
      <w:r>
        <w:rPr>
          <w:b/>
        </w:rPr>
        <w:t>[Pages 7–8]</w:t>
      </w:r>
    </w:p>
    <w:p>
      <w:r>
        <w:t>JURISPRUDENCE</w:t>
        <w:br/>
        <w:t>bidders to present offers in all areas and for all types of offers, and it was decided to implement the awarding procedure through an electronic auction system that had to ensure that all offers received (regardless of whether they were type 1, 2, or 3 offers) were compared with one another simultaneously, so that it could be determined which of them was the best economic offer, which introduced a huge degree of technical complexity (folios 2762-2763).</w:t>
        <w:br/>
        <w:t>Other considerations made by the co-defendant, which are unnecessary to include here, are mentioned in the contested resolution.</w:t>
        <w:br/>
        <w:t>Well, these assessments constitute a reasonable justification for the conduct, which prevents it from being classified as abusive.</w:t>
        <w:br/>
        <w:t>2.- Imposition of the obligation to inform. We already stated that the DI justified this conduct based on the following premises: A) the destination of the products (tons and percentages of each application) is covered by RD 1619/2005, of December 30 (Articles 6 and 10, paragraph 26), and furthermore, this information does not include, in the opinion of the DI, data that could be considered trade secrets, except for the presentation of an agreement with an Associated Energy Valorizer (VEA). B) In this latter case, the DI highlights that in the June 2011 call, SIGNUS required that such an agreement be presented in March 2012, that is, after it had awarded the NFU and therefore could not have used it for that award. C) And regarding the information related to the execution of the contracts, which could imply the obtaining of confidential information, the DI concludes that this is carried out through independent third parties who sign confidentiality commitments with the managers, which, in its opinion, would constitute a procedure with sufficient guarantees of confidentiality.</w:t>
        <w:br/>
        <w:t>3.- Unjustified conditions. A) Frequency of the references: it is stated in the complaint that their temporality, combined with the short duration of the contracts, prevents the configuration of medium and long-term business plans, excessively increasing the risk. Such reflections do not imply abusive conduct, as it is not abusive simply because certain conditions pose a greater difficulty in the development of economic activity. B) Duration of the contracts: it is noted in the Resolution that the duration of the contracts set by SIGNUS has been increasing over time based on the existing management capacity in the market (paragraphs 48-52) up to three years in the latest call, which, in the opinion of the DI, would be a reasonable and objective term for the business strategy of the managers. Therefore, such dynamics do not have the capacity to affect free competition. C) Limitation of stock: we also share, on this point, the reflections contained in the Resolution regarding the fact that the clause has never been applied, in addition to its purpose being to have a control instrument by SIGNUS over compliance with its obligations regarding the objectives of the PNIR concerning the limit quantities that must be subject to each possible application. The same can be interpreted regarding the alleged limitation of the supply source, subject to the accreditation of sales and management capacity to award the NFU, included in the calls of 2010 and removed in 2011. D) Opacity of the awards. The assertion contained in the contested Resolution is true in that the calls indicate the criteria for evaluating the offers, with an appearance of objectivity and allowing the rotation of collectors from one year to another, as indeed happened in 2007 in certain provinces. Furthermore, it technically makes sense to grant more points to SIGNUS collectors who were already operating in the area and to those who offer additional services (classification and reuse tasks).</w:t>
        <w:br/>
        <w:t>In this case, it does not appear that the conduct, aside from the absence of indications of abuse, affects free competition nor does it have the capacity to do so. The behaviors described in the complaint are either justified, or do not have the capacity to violate free competition, or both.</w:t>
        <w:br/>
        <w:t>Well, aside from the fact that the reported acts may contain elements that configure them as abusive in the business realm, the truth is that such a matter must be ventilated before the civil jurisdiction, partly because the controversy revolves around certain aspects of contracting and partly because, as we said, even if there were abuse, which has not been proven, it does not rationally appear that it could affect free competition, the only case in which Law 15/2007 assigns jurisdiction to the National Competition Commission for the exercise of sanctioning power.</w:t>
      </w:r>
    </w:p>
    <w:p>
      <w:r>
        <w:t>JURISPRUDENCE</w:t>
        <w:br/>
        <w:t>From the administrative file, it does not appear that free competition could be affected by the reported conduct.</w:t>
        <w:br/>
        <w:t>There are also no indications of the existence of collusive conduct in the relationship of facts described in the complaint, nor from the data in the file. Indeed, the ordinary and collective decision-making by the members of a SIG, organized for the recovery of certain waste, does not imply collusive anti-competitive conduct per se. And the abusive nature or not of the decision, in this case, we have indicated that we do not perceive abuse, does not turn the conduct into collusive.</w:t>
        <w:br/>
        <w:t>FOUR: From the above, the dismissal of the appeal results.</w:t>
        <w:br/>
        <w:t>It is appropriate to impose the costs on the appellant, in accordance with the criteria contained in Article 139.1 of the Regulatory Law of Administrative Litigation in its wording given by Law 37/2011.</w:t>
        <w:br/>
        <w:t>HAVING SEEN the cited precepts and others of general and pertinent application, by the power granted to us by the Constitution:</w:t>
        <w:br/>
        <w:t>WE DECREE</w:t>
        <w:br/>
        <w:t>That dismissing the administrative contentious appeal brought by the Spanish Federation of Recovery and Recycling, and in its name and representation by the Attorney Ms. Dª Aurora Gutiérrez Martín, against the State Administration, directed and represented by Mr. State Attorney, regarding the Resolution of the National Competition Commission dated November 29, 20012, we must declare and declare the contested Resolution to be in accordance with the law, and consequently, we must confirm it and we confirm it, with the imposition of costs on the appellant.</w:t>
        <w:br/>
        <w:t>Thus, by this our judgment, which will be notified stating that against it there is a possibility of appeal to the Supreme Court, following the instructions prescribed in Article 248 of Organic Law 6/1985, and a testimony of which will be sent in due course to the originating office for legal purposes along with the file, if applicable, we pronounce, order, and sign.</w:t>
        <w:br/>
        <w:t>PUBLICATION / The previous judgment has been read and published by the Honorable Ms. Magistrate Rapporteur of the same, while holding a public hearing on the same date, the Administrative Litigation Chamber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