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https://www.cnmc.es/expedientes/s035211</w:t>
      </w:r>
    </w:p>
    <w:p>
      <w:r>
        <w:t>Pages translated : 17</w:t>
      </w:r>
    </w:p>
    <w:p/>
    <w:p>
      <w:r>
        <w:rPr>
          <w:b/>
        </w:rPr>
        <w:t>[Pages 1–3]</w:t>
      </w:r>
    </w:p>
    <w:p>
      <w:r>
        <w:t xml:space="preserve">RESOLUTION  </w:t>
        <w:br/>
        <w:t xml:space="preserve">Expte. S/0352/11 - UNION OF PROOFREADERS  </w:t>
        <w:br/>
        <w:t xml:space="preserve">COUNCIL:  </w:t>
        <w:br/>
        <w:t xml:space="preserve">Mr. Joaquín García Bernaldo de Quirós,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Mr. Luis Díez Martín, Councilor  </w:t>
        <w:br/>
        <w:t xml:space="preserve">In Madrid, on December 14, 2012.  </w:t>
        <w:br/>
        <w:t xml:space="preserve">The Council of the National Competition Commission, with the composition stated and being Councilor Rapporteur Ms. María Jesús González López, has issued the following resolution in file S/0352/11, Union of Proofreaders, initiated ex officio by the Directorate of Investigation of the National Competition Commission, against the Union of Proofreaders (UNICO), for alleged conduct prohibited by Article 1 of Law 15/2007, of July 3, on the Defense of Competition (LDC), consisting of the preparation and publication on its website of minimum reference rates for text correction for the publishing sector and for other sectors.  </w:t>
        <w:br/>
        <w:t xml:space="preserve">FACTUAL BACKGROUND  </w:t>
        <w:br/>
        <w:t xml:space="preserve">1. On July 11, 2011, the Directorate of Investigation of the National Competition Commission (hereinafter, DI), in accordance with the provisions of Article 49.2 of the LDC, opened a reserved inquiry (page 1), with file number S/0352/11, in order to preliminarily determine whether the circumstances existed that justified the initiation of a sanctioning file against UNICO upon becoming aware of the preparation and publication on its website of minimum reference rates for text correction for the publishing sector and for other sectors (page 3).  </w:t>
        <w:br/>
        <w:t xml:space="preserve">2. On July 15, 2011, the DI requested information from UNICO regarding the underlying motivation for the preparation and publication of said rate schedule, as well as the methodology for calculating the amounts of these rates, the date of their publication on the website, the existence or not of other means of dissemination of the same, their monitoring, as well as the date of removal of this information from UNICO's website and the communication of this fact to its members (pages 4 to 6). The response to the aforementioned request for information was received by the CNC on July 27, 2011, with UNICO providing its incorporation deed (pages 8 to 14).  </w:t>
        <w:br/>
        <w:t xml:space="preserve">3. On September 12, 2011, in accordance with the provisions of Article 49.1 of the LDC, the DI agreed to initiate a sanctioning file with number S/0352/11 against UNICO, for the content of the website of minimum reference rates for text correction for the publishing sector and for other sectors, which could constitute a violation of Article 1 of the LDC, as it could represent a collective recommendation of minimum prices. The actions taken in the reserved inquiry were incorporated into this file (page 15).  </w:t>
        <w:br/>
        <w:t xml:space="preserve">4. On September 26, 2011, the DI requested additional information from UNICO regarding an annual survey, called 'Radiography of the Proofreader', conducted by UNICO, as well as contact details of its main clients (page 31). The response to this request for information was received by the CNC on October 24, 2011 (pages 49 to 78).  </w:t>
        <w:br/>
        <w:t xml:space="preserve">5. On September 28, 2011, the DI agreed to incorporate certain documentation extracted from UNICO's website into the reference file (pages 38 to 42).  </w:t>
        <w:br/>
        <w:t xml:space="preserve">6. On November 10, 2011, the DI requested information from various operators in the Spanish publishing sector (Planeta Corporación, S.R.L., Santillana Editores Generales, Ediciones B, S.A., Random House, Editorial Anagrama, S.A., Grupo Anaya, Marbe Digital Media 2007, S.L., Proforma Visual Communication, S.L. and Sintagma Edicions Corporatives), in order to evaluate the effects of the analyzed conduct on their publishing activity (pages 79 to 88). The responses to these requests were received by the CNC on November 11, 2011 (Editorial Anagrama, page 122), on November 15, 2011 (Random House Mondadori, page 123), on November 16, 2011 (Santillana Ediciones Generales, page 125; Ediciones B, pages 126 and 127; and Sintagma Edicions Corporatives, page 128), on November 17, 2011 (Grupo Anaya, S.A., page 130), on November 22, 2011 (Proforma Visual Communication, pages 131 and 132), and on November 24, 2011 (Grupo Planeta, page 133).  </w:t>
        <w:br/>
        <w:t xml:space="preserve">7. In accordance with the provisions of Article 50.3 of the LDC, on January 4, 2012, the DI formulated the Statement of Specific Facts (PCH), (pages 141 to 148), which was notified to UNICO on January 20, 2012, after an initial unsuccessful attempt. It was also requested that they provide the income volume of the association in the years 2009, 2010, and 2011, as well as their best estimate of the total turnover of the members that are part of said association in those years (pages 158 to 167).  </w:t>
        <w:br/>
        <w:t xml:space="preserve">8. On February 15, 2012, the CNC received UNICO's written submissions regarding the PCH (pages 174 to 403). Additionally, UNICO submitted the association's income data for the years 2009, 2010, and 2011, as requested (pages 189 and 190).  </w:t>
        <w:br/>
        <w:t xml:space="preserve">9. On February 15, 2012, UNICO requested the initiation of proceedings aimed at the Conventional Termination of the file (pages 404 to 406). In its submission, UNICO also included the general outlines of what would be its proposal for commitments. The DI summarizes the proposed commitments in the PR:  </w:t>
        <w:br/>
        <w:t xml:space="preserve">a. "Not to make any agreement related to any tariff or similar recommendation, nor to publish it on the website or through any other means.  </w:t>
        <w:br/>
        <w:t xml:space="preserve">b. To inform all its members that UNICO does not and will not provide information on rates, as well as to inform them that any recommendation of this type constitutes a violation of the LDC.  </w:t>
        <w:br/>
        <w:t xml:space="preserve">c. To inform via email the members of the initiation of this file, its reasons and outcome, as well as the commitments made. To inform third parties and the general public, through publication on its website and through UNICO's Facebook page, Twitter account, and other social networks, and even if requested by the CNC, through a press release.  </w:t>
        <w:br/>
        <w:t xml:space="preserve">d. To include among UNICO's objectives the development of projects that improve the competitiveness of professionals, as well as knowledge of the legislation (round tables, seminars, ...).  </w:t>
        <w:br/>
        <w:t xml:space="preserve">e. To promote competitiveness as an important value in the current market through events, statements, and presentations on the subject so that the public knows and is aware of its importance.  </w:t>
        <w:br/>
        <w:t xml:space="preserve">f. To establish a communication channel to guide proofreaders on how to set their rates."  </w:t>
        <w:br/>
        <w:t xml:space="preserve">10. On February 17, 2012, the DI denied the request for Conventional Termination, considering that the investigated conduct is self-exhausting and that UNICO only proposed certain conditions of behavior for the future, leaving the door open for UNICO to continue advising its members on how to establish their rates (pages 407 to 409).  </w:t>
        <w:br/>
        <w:t xml:space="preserve">11. On February 27, 2012, and in accordance with the provisions of Article 33.1 of the Competition Defense Regulation approved by Royal Decree 261/2008, of February 22 (RDC), the DI proceeded to close the instruction phase, communicating it to UNICO.  </w:t>
        <w:br/>
        <w:t xml:space="preserve">12. On March 1, 2012, in accordance with Article 50.4 of the LDC, the DI notified the Proposal for Resolution (PR) to UNICO for it to formulate any allegations it deems appropriate. The DI proposes in its PR:  </w:t>
        <w:br/>
        <w:t>"First. That the existence of a continued infringement be declared for conduct prohibited by Article 1 of Law 15/2007, consisting of the</w:t>
      </w:r>
    </w:p>
    <w:p>
      <w:r>
        <w:rPr>
          <w:b/>
        </w:rPr>
        <w:t>[Pages 4–6]</w:t>
      </w:r>
    </w:p>
    <w:p>
      <w:r>
        <w:t>survey conducted by UNICO for the year 2011 (data from 2010, pages 65 to 74). Of this subset, 21% do not combine their activities with others, while 60% also engage in related activities and 19% combine their work with unrelated activities (page 56).</w:t>
      </w:r>
    </w:p>
    <w:p>
      <w:r>
        <w:t>(26) In relation to their work area, most work in Madrid and Barcelona, primarily for publishers, secondly for writers, thirdly for magazines, and fourthly for translation agencies.</w:t>
      </w:r>
    </w:p>
    <w:p>
      <w:r>
        <w:t>(27) Concerning the presence of sectoral organizations, there is a multiplicity of entities, with varying degrees of territorial and/or sectoral specialization depending on the extent to which the provision of this service in local languages is significant, or this service is offered as a complement to the</w:t>
      </w:r>
    </w:p>
    <w:p>
      <w:r>
        <w:t>(28) Finally, he claims to have acted in good faith and therefore believes he could invoke the provisions of Article 1.3 of the LDC. He explains that his actions were due to fulfilling his objectives, defending the profession as it is at risk of disappearing.</w:t>
      </w:r>
    </w:p>
    <w:p>
      <w:r>
        <w:t>(29) It is an undisputed issue that UNICO developed and maintained on its website from late 2008 or early 2009 until mid-2011, minimum rates for different correction services.</w:t>
      </w:r>
    </w:p>
    <w:p>
      <w:r>
        <w:t>(30) Such conduct constitutes a collective recommendation in the sense of Article 1.1 of the LDC, which establishes the prohibition of "any agreement, decision, or collective recommendation or concerted or consciously parallel practice, which has as its object, produces or</w:t>
      </w:r>
    </w:p>
    <w:p>
      <w:r>
        <w:rPr>
          <w:b/>
        </w:rPr>
        <w:t>[Pages 7–9]</w:t>
      </w:r>
    </w:p>
    <w:p>
      <w:r>
        <w:t>UNICO survey. Of this last group, 46% are on the payroll and have a contract, while 31% perform different functions and 23% work as proofreaders as independent contractors (folios 55 and 57).</w:t>
      </w:r>
    </w:p>
    <w:p>
      <w:r>
        <w:t>(26) Regarding their work area, most work in Madrid and Barcelona, primarily for publishers, secondly for writers, thirdly for magazines, and fourthly for translation agencies.</w:t>
      </w:r>
    </w:p>
    <w:p>
      <w:r>
        <w:t>(27) Concerning the presence of sectoral organizations, there is a multiplicity of entities, with varying degrees of territorial and/or sectoral specialization depending on the extent to which the provision of this service in local languages is significant, or this service is offered as a complement to translation, such as the Spanish Association of Translators, Proofreaders, and Interpreters (ASETRAD) and the Association of Translators, Proofreaders, and Interpreters of the Basque Language (EIZIE), among others.</w:t>
      </w:r>
    </w:p>
    <w:p>
      <w:r>
        <w:t>(28) The size of these associations and, therefore, their representativeness, is determined by the number of their members. In the case of UNICO, it is 144 (folio 8), although the scope of its messages reaches other non-associated professionals, as evidenced by the 183 responses received by UNICO to the 2010 version of the survey "X-ray of the Proofreading Profession."</w:t>
      </w:r>
    </w:p>
    <w:p>
      <w:r>
        <w:t>(29) Finally, it should be noted that, due to the characteristics of the sector, its high fragmentation, the not easily identifiable nature of proofreading services compared to other editorial tasks in the market, and the different sectors to which it may be directed, it is complex to estimate an approximate figure for the value of this activity at the national market level, as well as UNICO's weight in it.</w:t>
      </w:r>
    </w:p>
    <w:p>
      <w:r>
        <w:t>(30) In any case, from the responses to the information requests made by the DI to various publishing operators, it is inferred that this market has a minimum dimension of 1,800,000 euros in 2010.</w:t>
      </w:r>
    </w:p>
    <w:p>
      <w:r>
        <w:t>(31) Furthermore, from these responses, it is inferred that none of the major publishing houses claims to know UNICO, nor have they felt influenced in their negotiations with individual proofreaders or with agencies in which they are grouped by the minimum recommended rates published by UNICO.</w:t>
      </w:r>
    </w:p>
    <w:p>
      <w:r>
        <w:t>C) ESTABLISHED FACTS</w:t>
      </w:r>
    </w:p>
    <w:p>
      <w:r>
        <w:t>(32) According to UNICO, this association published minimum proofreading rates on its website at the end of 2008 or the beginning of 2009, with the aim of guiding professionals who, in many cases, are taking their first steps in the profession and seek the support and help of those who are more experienced (folios 9 and 10).</w:t>
      </w:r>
    </w:p>
    <w:p>
      <w:r>
        <w:t>(33) For the calculation of these rates, UNICO states that its Board of Directors based them on the most commonly used figures in the market, and that the Board of Directors set these figures as the most advisable for a proofreading professional to earn a living practicing this activity (folio 9).</w:t>
      </w:r>
    </w:p>
    <w:p>
      <w:r>
        <w:t>(34) These minimum proofreading rates (folio 3) differ depending on whether the recipient is the publishing sector or other sectors (communication, advertising, business).</w:t>
      </w:r>
    </w:p>
    <w:p>
      <w:r>
        <w:t>(35) Within the publishing sector, proofreading rates are established at 0.83 euros/thousand matrices for proofreading and 1.36 euros/thousand matrices for style correction, with surcharges of 25% in cases of urgency or work on non-working days, as well as an hourly rate when the assignments cannot be calculated by matrices (18.8 euros/hour).</w:t>
      </w:r>
    </w:p>
    <w:p>
      <w:r>
        <w:t>(36) For other sectors, the rates establish a price level of 52.22 euros/hour.</w:t>
      </w:r>
    </w:p>
    <w:p>
      <w:r>
        <w:t>(37) Additionally, the rate schedule includes guidelines with direct implications on prices and with the intention of regulating the relationships between proofreader and client. In this regard, the rate schedule includes the following comments:</w:t>
        <w:br/>
        <w:t>a. These rates are for non-specialized proofreading assignments. All texts considered 'special' for any reason that imply, therefore, a greater dedication should see these rates revised upwards by mutual agreement between proofreader and client.</w:t>
        <w:br/>
        <w:t>b. Surcharges may be cumulative (for example, urgent work done on weekends: 25%+25%).</w:t>
      </w:r>
    </w:p>
    <w:p>
      <w:r>
        <w:t>(38) UNICO claims that it has only disseminated this rate schedule through its website. However, this distribution reaches a wider audience than that defined by the number of professionals associated with UNICO, as evidenced by the fact that the responses to a 2011 survey on the professional situation of proofreaders (183), published on UNICO's website, exceed the number of UNICO members (144) (folios 8 and 65).</w:t>
      </w:r>
    </w:p>
    <w:p>
      <w:r>
        <w:t>(39) These minimum proofreading rates were removed by UNICO from its website at the end of June 2011, after the Directorate of Investigation contacted UNICO, without this withdrawal being communicated to UNICO members (folios 10 and 11).</w:t>
      </w:r>
    </w:p>
    <w:p>
      <w:r>
        <w:t>LEGAL GROUNDS</w:t>
      </w:r>
    </w:p>
    <w:p>
      <w:r>
        <w:t>FIRST.- Object of Resolution. According to Article 50.5 of the LDC, the DI submitted the following Proposal for Resolution to the Council: "That the existence of a continued infringement by conduct prohibited by Article 1 of Law 15/2007 be declared, consisting of the preparation and publication by UNICO, Union of Proofreaders in the years 2009, 2010, and the first half of 2011 of a collective recommendation of minimum prices for proofreading services, which may produce the effect of distorting competition in the market for the provision of proofreading services to the publishing industry and to individual consumers."</w:t>
      </w:r>
    </w:p>
    <w:p>
      <w:r>
        <w:t>The Council must therefore resolve whether, as proposed by the DI, the established facts reproduced in the Established Facts of this Resolution constitute an infringement of Article 1.1 of the LDC, qualifying as a very serious infringement under Article 62.4.a) of the LDC, for which UNICO would be legally responsible, for having carried out a collective recommendation of minimum rates with the aim of restricting and distorting competition in the market for the provision of proofreading and text correction services.</w:t>
      </w:r>
    </w:p>
    <w:p>
      <w:r>
        <w:t>SECOND.- Accusation by the DI and allegations to the PR. The DI in the PCH and ratified in the PR, considers that the preparation and publication of the rate schedule on UNICO's website, which it acknowledges, is a collective recommendation of minimum prices for proofreading and text correction services that constitutes a conduct, continued over time, that falls within the prohibitions of Article 1 of the LDC, for which UNICO is responsible, at least, for its negligence in complying with the provisions of the LDC.</w:t>
      </w:r>
    </w:p>
    <w:p>
      <w:r>
        <w:t>The DI dismisses the applicability of the exemption provided for in Article 1.3 of the LDC, since UNICO has not provided arguments justifying that the conduct contributes to improving the production or marketing and distribution of goods and services or to promoting technical or economic progress. In any case, the DI considers that the restrictions on competition arising from a recommendation of minimum prices by UNICO go beyond what is acceptable for obtaining possible efficiencies and for the application of the exemption provided for in the LDC.</w:t>
      </w:r>
    </w:p>
    <w:p>
      <w:r>
        <w:t>Likewise, the DI dismisses the applicability of the exemption provided for in Article 5 LDC, relating to conduct of lesser importance, as it involves price fixing for sales to third parties, a conduct excluded from the concept of lesser importance by Article 2.1 a) of the RDC.</w:t>
      </w:r>
    </w:p>
    <w:p>
      <w:r>
        <w:t>The following summarizes the allegations made by the accused on March 20, 2012, to the PR, proceeding to their response in the Legal Grounds of the qualification of the conduct by the Council and in relation to the determination of the sanction.</w:t>
      </w:r>
    </w:p>
    <w:p>
      <w:r>
        <w:t>Firstly, UNICO understands that there is no punishable act since it is debatable to consider established and proven that the agreement had the object, produces or may produce the effect of preventing, restricting or distorting competition in the terms established by the LDC, since the association's intention was to guide those members who are taking their first steps in the profession and to provide them support and, specifically, the information and elements of judgment to assess whether the remuneration offered by clients (publishers) could be profitable.</w:t>
      </w:r>
    </w:p>
    <w:p>
      <w:r>
        <w:rPr>
          <w:b/>
        </w:rPr>
        <w:t>[Pages 10–12]</w:t>
      </w:r>
    </w:p>
    <w:p>
      <w:r>
        <w:t>Also, it argues that the agreement has not produced and cannot produce the effect of restricting or distorting competition. In this regard, it defends the absence of effects on the market due to how the publishing sector operates, characterized by the negotiating power of publishers, stating about the weak position of the proofreader that, "it is impossible for a proofreader to impose minimum rates on the publisher, let alone adopt a position of strength that forces the publisher to increase their offer" (folio 442). Therefore, it argues that due to the usual practices in the publishing sector, the tariff in question cannot produce anticompetitive effects. UNICO reiterates that none of the publishers contacted during the investigation of the file "know UNICO nor have felt influenced in their negotiations with individual proofreaders or with agencies where they group together by the minimum tariff published by UNICO," thus defending that the effects on the market have been null.</w:t>
      </w:r>
    </w:p>
    <w:p>
      <w:r>
        <w:t>UNICO insists regarding the official communication to the members about the withdrawal of the publication and its reasons, which were mediated by the duty of secrecy and acted in accordance with the principle of prudence. The Association explains that informal communications with the DI warned them that they should "remove the document from the website so that the matter would not escalate," but nothing about "communicating that withdrawal to the members and its reasons," so it proceeded to withdraw the document with the utmost diligence, without informing the members or third parties, expressing its bewilderment upon learning that the failure to communicate this to its members was the ultimate reason for initiating the file.</w:t>
      </w:r>
    </w:p>
    <w:p>
      <w:r>
        <w:t>Secondly, it disagrees with the conclusions of the DI in the PR according to which, based on the data reflected in the surveys on price evolution from 2010 to 2011, "the price of correction services increased from one year to another, although at the same time the number of proofreaders who did not work increased" (paragraph 11 PR). In UNICO's opinion, "a more accurate interpretation of reality is the following: from 2010 to 2011, only the percentage of proofreaders who did not work increased," without the prices of correction services increasing.</w:t>
      </w:r>
    </w:p>
    <w:p>
      <w:r>
        <w:t>Thirdly, UNICO requests that, although the price recommendation is excluded from less significant conduct, the Council make use of Article 3.1 of the RDC, according to which the Council can "declare Articles 1 to 3 of the LDC inapplicable" to conduct that, considering the legal-economic context, is not suitable to significantly affect competition, and it requests this in light of the fact that the conduct has had no influence on the market and that there has also been no increase in prices from one year to another.</w:t>
      </w:r>
    </w:p>
    <w:p>
      <w:r>
        <w:t>UNICO disagrees that it has continued de facto with the prohibited conduct since the Board of Directors neither promotes nor participates in discussions among the members.</w:t>
      </w:r>
    </w:p>
    <w:p>
      <w:r>
        <w:t>On the other hand, UNICO requests the application of mitigating circumstances, which the DI also refers to, due to the immediate withdrawal of the document with the tariffs from the website, the communication to the members of that withdrawal, and its ignorance of the prohibition on discussing tariffs among members on an individual basis. It considers that while ignorance of the law does not exempt compliance, it should be taken into account to mitigate responsibility.</w:t>
      </w:r>
    </w:p>
    <w:p>
      <w:r>
        <w:t>Finally, it claims to have acted in good faith and therefore believes it could invoke the provisions of Article 1.3 of the LDC. It explains that its actions were due to fulfilling its objectives, defending the profession as it is at risk of disappearing.</w:t>
      </w:r>
    </w:p>
    <w:p>
      <w:r>
        <w:t>THIRD.- On the anticompetitive nature of the alleged conduct. It is an undisputed issue that UNICO developed and maintained published on its website from late 2008 or early 2009 until mid-2011, minimum rates for different correction services.</w:t>
      </w:r>
    </w:p>
    <w:p>
      <w:r>
        <w:t>Such conduct constitutes a collective recommendation in the sense of Article 1.1 of the LDC, which establishes the prohibition of "any agreement, decision, or collective recommendation or concerted or consciously parallel practice, which has as its object, produces or may produce the effect of preventing, restricting or distorting competition in all or part of the national market and, in particular, those that consist of: a) The direct or indirect fixing of prices or other commercial or service conditions."</w:t>
      </w:r>
    </w:p>
    <w:p>
      <w:r>
        <w:t>Therefore, this Council agrees with the DI that the development of the tariff and its publication is a conduct that by its very nature has the object and the ability to affect the autonomy of economic operators when determining the price of their services and thus to distort effective competition in the market. And the fixing of prices, whether directly or indirectly, constitutes the most serious form of infringement of Article 1 of the LDC.</w:t>
      </w:r>
    </w:p>
    <w:p>
      <w:r>
        <w:t>In response to UNICO's claim that its object was not to distort competition but to support its members, it must be reiterated that the conduct proven and established by UNICO has the ability to promote non-autonomous behavior among its members, and probably among other operators in the sector, regarding the determination of their rates, since the indicative rates were posted on UNICO's website and were accessible not only to the members of the association but to anyone visiting the website, thus distorting one of the most relevant factors of competition in that market. In this regard, this Council has already repeatedly pronounced (see, among others, Resolution of the CNC Council of May 27, 2009, Expte. S/0064/08, Equine Specialist Veterinarians; Resolution of the CNC Council of May 30, 2012, Expte. S/0273/10, National Association of Graphic Informers Press; Resolution of July 30, 2012, Expte. S/0339/11, Graphic Designers).</w:t>
      </w:r>
    </w:p>
    <w:p>
      <w:r>
        <w:t>UNICO claims that it removed the tariff document from the website following the DI's instructions and that if it did not formally communicate to the members the reasons for the withdrawal, it was because it considered that its conversations with the DI were subject to the duty of secrecy and does not understand why a sanctioning file has been initiated against it. This Council cannot accept this claim, as there is evidence of an action contrary to Article 1 of the LDC, which has been maintained for a considerable period of time, and therefore must be investigated and, if applicable, sanctioned.</w:t>
      </w:r>
    </w:p>
    <w:p>
      <w:r>
        <w:t>Moreover, even if UNICO has removed the tariff from the website, and even if it had communicated to its members the reasons for doing so, the damage to competition would already have been done. Furthermore, the effect does not automatically end with the removal of the tariffs from the website, as evidenced by UNICO's emails in response to inquiries about tariffs from its members, in which it states, among other things, "The matter has already been widely debated and commented on in the list, so I recommend you go to the Googlegroups archive to consult the relevant threads. However, members can freely discuss these topics in the list, so you will soon receive answers" (folio 210).</w:t>
      </w:r>
    </w:p>
    <w:p>
      <w:r>
        <w:t>As this response shows, UNICO seems to ignore that by this action, the Association could be de facto restricting competition by facilitating and enabling mechanisms (through Google Groups) for members to discuss among themselves the rates to be applied. Therefore, in the opinion of this Council, a formal pronouncement is necessary in which, among other things, the Association is reminded that it must refrain from any action that tends to eliminate the autonomy of its members in relevant aspects of their commercial policy, as this may constitute a violation of the LDC.</w:t>
      </w:r>
    </w:p>
    <w:p>
      <w:r>
        <w:t>Regarding UNICO's allegations that, due to not having caused effects on free competition, we would be facing conduct of lesser importance, either by application of Article 5 of the LDC or Article 3.1 of the RDC, the Council agrees with the DI that a price recommendation, which has remained over time at least from 2009 until mid-2011, cannot be subject to such exemptions.</w:t>
      </w:r>
    </w:p>
    <w:p>
      <w:r>
        <w:t>Indeed, Article 5 of the LDC provides that the prohibitions contained in Articles 1 to 3 of the same Law do not apply to conduct that, due to its minor importance, is not likely to significantly affect competition. The criteria for delineating these lesser importance conducts have been developed by Articles 1, 2, and 3 of the RDC. In the matter at hand, this exemption could not be applied, because Article 2 of the RDC itself excludes from the concept of lesser importance conduct that aims at the fixing of prices to third parties, which is what has been analyzed in this file (see similarly Resolution CNC of May 30, 2012, Expte. S/0273/10, National Association of Graphic Informers Press, FD 7º).</w:t>
      </w:r>
    </w:p>
    <w:p>
      <w:r>
        <w:t>Nor can UNICO's request for the application of the provisions of Article 3 of the RDC be granted, according to which, "1. Without prejudice to the provisions of the previous articles and for the purposes established in Articles 5 and 53.1.b) of Law 15/2007, of July 3, the Council of the National Competition Commission may declare Articles 1 to 3 of the aforementioned law inapplicable to conduct that, considering its legal and economic context, is not suitable to significantly affect competition." And it is not possible because it is necessary that the conduct is not suitable to significantly affect competition, a point that cannot be ruled out in the present file since the dissemination of the tariff recommendation through the association's website has been accessible to the members of the association and to the entire sector for at least two and a half years.</w:t>
      </w:r>
    </w:p>
    <w:p>
      <w:r>
        <w:rPr>
          <w:b/>
        </w:rPr>
        <w:t>[Pages 13–15]</w:t>
      </w:r>
    </w:p>
    <w:p>
      <w:r>
        <w:t>de tarifas de la web; y la supresión voluntaria del mismo, considera que la sanción debe ser proporcional a la gravedad de la infracción y a las circunstancias del caso.</w:t>
      </w:r>
    </w:p>
    <w:p>
      <w:r>
        <w:t>Por lo tanto, el Consejo determina que la multa a imponer a UNICO será de 50.000 euros, cantidad que se considera adecuada para disuadir futuras infracciones y que refleja la naturaleza de la conducta anticompetitiva cometida, sin que ello implique una minimización de la gravedad de la infracción.</w:t>
      </w:r>
    </w:p>
    <w:p>
      <w:r>
        <w:t>SEXTO.- Sobre la notificación de la resolución. Esta resolución será notificada a UNICO y se publicará en el Boletín Oficial del Estado, de conformidad con lo dispuesto en el artículo 63.2 de la LDC.</w:t>
      </w:r>
    </w:p>
    <w:p>
      <w:r>
        <w:t>SÉPTIMO.- Contra esta resolución, que pone fin a la vía administrativa, cabe interponer recurso contencioso-administrativo ante la Audiencia Nacional en el plazo de dos meses a contar desde el día siguiente al de su notificación, de conformidad con lo dispuesto en el artículo 46 de la Ley 29/1998, de 13 de julio, de la jurisdicción contencioso-administrativa.</w:t>
      </w:r>
    </w:p>
    <w:p>
      <w:r>
        <w:t>Así lo acuerda y firma el Consejo de la Comisión Nacional de la Competencia en Madrid, a 15 de diciembre de 2012.</w:t>
      </w:r>
    </w:p>
    <w:p>
      <w:r>
        <w:rPr>
          <w:b/>
        </w:rPr>
        <w:t>[Pages 16–17]</w:t>
      </w:r>
    </w:p>
    <w:p>
      <w:r>
        <w:t>restrictive and harmful to competition, taking into account all the information gathered above, namely, the limited size of the accredited market; the limited representativeness of UNICO; the characteristics of the members; the lack of accreditation of effects; the immediate removal of the document from the website when suggested by the DI; its effective collaboration with the investigation of the file, along with the limited budget of the Association, it understands that the punitive and deterrent criteria that must accompany any reproach for violating the Law, according to the doctrine of the Supreme Court, must be balanced by the necessary proportionality and, in this case, advise imposing on UNICO a symbolic fine, in a reduced amount, of 2,500 euros.</w:t>
      </w:r>
    </w:p>
    <w:p>
      <w:r>
        <w:t>Without prejudice to maintaining the monetary sanction at the aforementioned symbolic levels, the Council considers it appropriate to make use of Article 53.2.c) of the LDC, which empowers it to order the removal of the effects of the prohibited practices contrary to the public interest. In this case, considering that the means used by the sanctioned party to disseminate the anticompetitive conduct may persist on the internet despite having been removed from its website, it is appropriate to impose on UNICO the obligation to disseminate this Resolution by the same means it used with the tariff in order to remove the restrictive effects that the infringement may have objectively caused.</w:t>
      </w:r>
    </w:p>
    <w:p>
      <w:r>
        <w:t>By virtue of this, and in view of the cited articles and others of general application, the Council of the National Competition Commission,</w:t>
      </w:r>
    </w:p>
    <w:p>
      <w:r>
        <w:t>RESOLVES</w:t>
      </w:r>
    </w:p>
    <w:p>
      <w:r>
        <w:t>FIRST.- To declare the existence of an infringement of Article 1 of Law 15/2007, of July 3, on the Defense of Competition, consisting of a collective recommendation of minimum rates aimed at restricting and distorting competition in the market for the provision of text correction and proofreading services, for which the Union of Proofreaders, UNICO, is responsible.</w:t>
      </w:r>
    </w:p>
    <w:p>
      <w:r>
        <w:t>SECOND.- To impose on UNICO a sanction of 2,500 euros (two thousand five hundred euros).</w:t>
      </w:r>
    </w:p>
    <w:p>
      <w:r>
        <w:t>THIRD.- To impose on UNICO the obligation to send to all its members a communication that includes the content of this Resolution, and to include the text of the same on its website in a visible manner for one year.</w:t>
      </w:r>
    </w:p>
    <w:p>
      <w:r>
        <w:t>FOURTH.- To urge the Investigation Directorate of the National Competition Commission to monitor compliance with this Resolution.</w:t>
      </w:r>
    </w:p>
    <w:p>
      <w:r>
        <w:t>This Resolution shall be communicated to the Investigation Directorate and notified to the interested party, informing them that it concludes the administrative process,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