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https://www.cnmc.es/expedientes/s035411</w:t>
      </w:r>
    </w:p>
    <w:p>
      <w:r>
        <w:t>Pages translated : 15</w:t>
      </w:r>
    </w:p>
    <w:p/>
    <w:p>
      <w:r>
        <w:rPr>
          <w:b/>
        </w:rPr>
        <w:t>[Pages 1–3]</w:t>
      </w:r>
    </w:p>
    <w:p>
      <w:r>
        <w:t xml:space="preserve">JURISPRUDENCE  </w:t>
        <w:br/>
        <w:t xml:space="preserve">Roj: SAN 2647/2025 - ECLI:ES:AN:2025:2647  </w:t>
        <w:br/>
        <w:t xml:space="preserve">Id Cendoj:28079230062025100242  </w:t>
        <w:br/>
        <w:t xml:space="preserve">Body: National Court. Contentious Chamber  </w:t>
        <w:br/>
        <w:t xml:space="preserve">Venue: Madrid  </w:t>
        <w:br/>
        <w:t xml:space="preserve">Section: 6  </w:t>
        <w:br/>
        <w:t xml:space="preserve">Date: 27/05/2025  </w:t>
        <w:br/>
        <w:t xml:space="preserve">Case Number: 709/2019  </w:t>
        <w:br/>
        <w:t xml:space="preserve">Resolution Number:  </w:t>
        <w:br/>
        <w:t xml:space="preserve">Procedure: Ordinary procedure  </w:t>
        <w:br/>
        <w:t xml:space="preserve">Rapporteur: FRANCISCO DE LA PEÑA ELIAS  </w:t>
        <w:br/>
        <w:t xml:space="preserve">Type of Resolution: Judgment  </w:t>
        <w:br/>
        <w:t xml:space="preserve">N A T I O N A L C O U R T  </w:t>
        <w:br/>
        <w:t xml:space="preserve">Contentious-Administrative Chamber  </w:t>
        <w:br/>
        <w:t xml:space="preserve">SECTION SIX  </w:t>
        <w:br/>
        <w:t xml:space="preserve">Case Number: 0000709/2019  </w:t>
        <w:br/>
        <w:t xml:space="preserve">Type of Appeal: ORDINARY PROCEDURE  </w:t>
        <w:br/>
        <w:t xml:space="preserve">General Registration Number: 05385/2019  </w:t>
        <w:br/>
        <w:t xml:space="preserve">Claimant: HP INC. and HP PRINTING AND COMPUTING SOLUTIONS, S.L.U. (jointly referred to as "HP")  </w:t>
        <w:br/>
        <w:t xml:space="preserve">Procurator: Ms. GLORIA ROBLEDO MACHUCA  </w:t>
        <w:br/>
        <w:t xml:space="preserve">Defendant: NATIONAL COMMISSION OF MARKETS AND COMPETITION  </w:t>
        <w:br/>
        <w:t xml:space="preserve">Co-defendant: ORACLE CORPORATION AND ORACLE IBÉRICA, S.R.L., ("ORACLE")  </w:t>
        <w:br/>
        <w:t xml:space="preserve">State Attorney  </w:t>
        <w:br/>
        <w:t xml:space="preserve">Rapporteur Hon. Mr.: D. FRANCISCO DE LA PEÑA ELIAS  </w:t>
        <w:br/>
        <w:t xml:space="preserve">J U D G M E N T Nº:  </w:t>
        <w:br/>
        <w:t xml:space="preserve">Hon. Mr. President:  </w:t>
        <w:br/>
        <w:t xml:space="preserve">D. FRANCISCO DE LA PEÑA ELIAS  </w:t>
        <w:br/>
        <w:t xml:space="preserve">Hon. Judges:  </w:t>
        <w:br/>
        <w:t xml:space="preserve">Ms. MARIA JESUS VEGAS TORRES  </w:t>
        <w:br/>
        <w:t xml:space="preserve">D. RAMÓN CASTILLO BADAL  </w:t>
        <w:br/>
        <w:t xml:space="preserve">Madrid, on the twenty-seventh of May two thousand twenty-five.  </w:t>
        <w:br/>
        <w:t>HAVING SEEN the present contentious-administrative appeal no. 709/19 filed by Procurator Ms. Gloria Robledo Machuca on behalf of HP INC. and HP PRINTING AND COMPUTING SOLUTIONS, S.L.U. (jointly referred to as "HP") against the resolution of February 20, 2019, of the Competition Chamber of the National Commission of Markets and Competition, by which it was agreed to declare that in file S/0354/11 the existence of an infringement of article 2 of Law 15/2007, of July 3, on the Defense of Competition had not been sufficiently proven. The defendant Administration has been a party in the proceedings, represented and defended by the State Attorney, and intervened as co-defendants ORACLE CORPORATION AND ORACLE IBÉRICA, S.R.L., ("Oracle"), represented by Procurator D. Joaquín Fanjul de Antonio.</w:t>
      </w:r>
    </w:p>
    <w:p>
      <w:r>
        <w:t xml:space="preserve">JURISPRUDENCE  </w:t>
        <w:br/>
        <w:t xml:space="preserve">FACTUAL BACKGROUND  </w:t>
        <w:br/>
        <w:t xml:space="preserve">FIRST.- The appeal was filed and the appropriate procedures provided by the Law of Jurisdiction were followed, and the claimant was summoned to formalize the complaint, which was verified by means of a written document in which, after outlining the facts and legal grounds deemed applicable, concluded by requesting a judgment ordering:  </w:t>
        <w:br/>
        <w:t xml:space="preserve">"(a) With the acceptance of the grounds for appeal contained in the Legal-Material Legal Grounds First to Fifth of this complaint, or subsidiarily accepting the ground for appeal contained in the Legal-Material Legal Ground Sixth, to annul the contested Resolution for incurring an infringement of article 24 of the Constitution, article 51.1 of the LDC and/or articles 47 and 51.2 of the Charter of Fundamental Rights of the European Union.  </w:t>
        <w:br/>
        <w:t xml:space="preserve">(b) In any case, in addition to what was requested in point (a) above, accepting the claim for full jurisdiction formulated by this party, under the protection of articles 24, 103 of the Constitution and 71.1b) of the LJCA, order the Council of the CNMC to issue a new resolution that, based on the SAN and the STS:  </w:t>
        <w:br/>
        <w:t xml:space="preserve">i) Declare that Oracle's dominant position and the infringements of articles 2 of the LDC and 102 of the TFEU reported have been sufficiently proven;  </w:t>
        <w:br/>
        <w:t xml:space="preserve">(ii) Decide on the appropriate culpability judgment; and  </w:t>
        <w:br/>
        <w:t xml:space="preserve">(iii) Impose the corresponding fine on Oracle.  </w:t>
        <w:br/>
        <w:t xml:space="preserve">All of this, with express imposition of costs on the Administration and Oracle."  </w:t>
        <w:br/>
        <w:t xml:space="preserve">SECOND.- The State Attorney and the co-defendant entity responded to the complaint with respective writings in which they requested that a judgment be issued dismissing the appeal, confirming the contested act in all its aspects.  </w:t>
        <w:br/>
        <w:t xml:space="preserve">THIRD.- Pending the appeal for scheduling for voting and ruling when it was due, the hearing was set for March 12, 2025, which took place; the deliberation extended to the sessions of April 9 and 30, 2025.  </w:t>
        <w:br/>
        <w:t xml:space="preserve">The rapporteur has been Hon. Mr. D. Francisco de la Peña Elías, who expresses the opinion of the Chamber.  </w:t>
        <w:br/>
        <w:t xml:space="preserve">LEGAL GROUNDS  </w:t>
        <w:br/>
        <w:t xml:space="preserve">FIRST.- Through this process, the acting entity challenges the resolution of February 20, 2019, of the Competition Chamber of the National Commission of Markets and Competition, issued in file S/DC/611/17, in which the following was agreed:  </w:t>
        <w:br/>
        <w:t xml:space="preserve">"FIRST.- Declare, under the protection of article 53.1 c) of Law 15/2007, of July 3, on the Defense of Competition, that in the present file the existence of an infringement of article 2 of Law 15/2007, of July 3, on the Defense of Competition and of article 102 of the Treaty on the Functioning of the European Union has not been sufficiently proven, in the terms proposed by the Directorate of Investigation of the former National Competition Commission.  </w:t>
        <w:br/>
        <w:t xml:space="preserve">SECOND.- Resolve on the confidentiality regarding the documentation provided by the companies in accordance with what is indicated in Legal Ground Fifth."  </w:t>
        <w:br/>
        <w:t xml:space="preserve">In this agreement, a relationship of the background that preceded its issuance was also made in these terms:  </w:t>
        <w:br/>
        <w:t xml:space="preserve">"1. On July 6, 2011, a complaint was filed with the former National Competition Commission (CNC) by Hewlett Packard Company and Hewlett Packard Española, S.L. (jointly HP)1, in which ORACLE was reported for alleged prohibited conduct under article 2 of the LDC and article 102 TFEU (pages 1 to 386).  </w:t>
        <w:br/>
        <w:t xml:space="preserve">2. HP reported ORACLE's decision, announced on March 22, 2011, to suspend all its software developments for the Itanium processor of Intel Corporation (Intel), primarily used in HP's Integrity server family, which could lead to unjustified denial of service and abusive discrimination. Furthermore, according to the complaint, these practices would stem from the modification of the pricing policy of ORACLE's Enterprise relational database systems starting in December 2010, potentially leading to abusive discrimination.  </w:t>
        <w:br/>
        <w:t xml:space="preserve">3. In the framework of this complaint, HP requested the adoption of certain precautionary measures.  </w:t>
        <w:br/>
        <w:t xml:space="preserve">4. As a consequence of the aforementioned complaint, the DI, in accordance with the provisions of article 49.2 of the LDC, initiated a confidential inquiry to determine whether circumstances existed that might justify, if applicable, the initiation of sanctioning proceedings.  </w:t>
        <w:br/>
        <w:t xml:space="preserve">5. Within the framework of this confidential inquiry, on July 13, 2011, the DI sent a request for information to 15 companies and public bodies, users of relational database management systems (pages 400 to 418, and 456 to 461). These were the Ministry of Defense, the Directorate General of the Cadastre, the Basque Public Health Service (Osakidetza), the Health Service of Castilla-La Mancha (SESCAM), Spanish Airports and Air Navigation (hereinafter, AENA), Renfe Operadora, Banco Bilbao Vizcaya Argentaria, S.A. (hereinafter, BBVA), Mapfre, S.A., Bankia, S.A., Caja España-Duero, Telefónica, S.A., Indra Sistemas, S.A., Carrefour Commercial Centers, S.A. (CARREFOUR), Iberdrola Generación, S.A.U., and Mercadona, S.A.  </w:t>
        <w:br/>
        <w:t xml:space="preserve">6. The responses to the previous requests were received on July 18, 2011 (BBVA, -pages 472 to 480), July 19, 2011 (Caja España-Duero, pages 481 to 483, AENA, page 484, the Directorate General of the Cadastre, pages 485 to 490, and SESCAM, pages 491 and 492), July 20, 2011 (Osakidetza, pages 493 to 496), July 21, 2011 (Mercadona, S.A. pages 497 to 499 and Iberdrola Generación, S.A.U. -pages 611 to 619), July 22, 2011 (Indra Sistemas, S.A. -pages 637 to 642, and 651 and Mapfre, S.A. pages 643 to 645), July 26, 2011 (Ministry of Defense, pages 646 to 649), July 27, 2011 (CARREFOUR, pages 653 to 655 and Renfe Operadora, pages 656 and 657), August 5, 2011 (Bankia, S.A. pages 703 to 709), and August 8, 2011 (Telefónica, S.A. pages 720 to 725).  </w:t>
        <w:br/>
        <w:t xml:space="preserve">7. Based on the confidential information, the DI observed rational indications of infringement of the LDC and the TFEU, so that, in accordance with the provisions of article 49.1 of the LDC, it agreed on July 28, 2011, to initiate sanctioning proceedings (file registered under number S/0354/11) against ORACLE for restrictive competition practices prohibited in articles 2 of the LDC and 102 of the TFEU (pages 658 and 659), granting the status of interested party in the file to the complainant HP.  </w:t>
        <w:br/>
        <w:t xml:space="preserve">8. On July 29, 2011, HP submitted a written statement in which it provided certain information (pages 673 to 690).  </w:t>
        <w:br/>
        <w:t xml:space="preserve">9. On September 16, 2011, the DI sent requests for information to HP (pages 835 to 837), ORACLE (pages 838 to 842), International Business Machines, S.A. (IBM) (pages 826 to 830), Microsoft Ibérica, S.R.L. (Microsoft) (pages 831 to 834), and Intel Corporation Iberia, S.A. (pages 843 to 846). Their responses were received by the CNC on September 28, 2011 (HP, pages 882 to 1,091), October 4 (ORACLE, pages 1,296 to 1,476; IBM pages 1,099 to 1,188; Microsoft, pages 1,189 to 1,284), and October 10, 2011 (Intel, pages 1,493 to 1,515), respectively.  </w:t>
        <w:br/>
        <w:t xml:space="preserve">10. On November 25, 2011, HP submitted a document (pages 1,618 to 2,069) reiterating its request for precautionary measures, based this time on new internal documentation from ORACLE obtained during the discovery phase of the judicial litigation facing both companies in the U.S.  </w:t>
        <w:br/>
        <w:t xml:space="preserve">11. On December 7, 2011, HP submitted a document (pages 2,113 to 2,118) providing supplementary documentation to that submitted on November 25, 2011.  </w:t>
        <w:br/>
        <w:t xml:space="preserve">12. On January 9, 2012, by agreement of the instructor (pages 2,147 and 2,148), certain documentation in paper format from ORACLE's corporate website was incorporated into the file (pages 2,150 to 2,171).  </w:t>
        <w:br/>
        <w:t xml:space="preserve">13. On January 13, 2012, HP submitted a document (pages 2,172 to 2,212) providing the confidential version of the resolution of the French Competition Authority regarding the denial of precautionary measures requested by HP following the same alleged anti-competitive practices reported in Spain. Furthermore, in this document, it offered an assessment of that resolution.  </w:t>
        <w:br/>
        <w:t xml:space="preserve">14. On January 16, 2012, ORACLE submitted a document providing the allegations it had presented in the framework of the French procedure regarding the adoption of precautionary measures previously mentioned (pages 2,215 to 2,450).  </w:t>
        <w:br/>
        <w:t xml:space="preserve">15. On January 25, 2012, the DI sent requests for information to HP (pages 2,452 to 2,457), ORACLE (pages 2,458 to 2,465), IBM (pages 2,466 to 2,473), Microsoft (pages 2,474 to 2,479.1), and Sybase Iberia, S.L. (Sybase) (pages 2,480 to 2,487).  </w:t>
        <w:br/>
        <w:t>16. The responses to the previous requests were received on February 8, 2012 (HP, pages 2,526 to 2,601), February 10, 2012 (ORACLE, pages 2,603 to 2,616; MICROSOFT, pages 2,617 to 2,625), February 14, 2012 (IBM, pages 2,627 to 2,643) and February 22, 2012 (IBM, pages 2,667 to 2,673, correcting errors present in its document of February 14, 2012). Due to the absence of a response from SYBASE within the agreed timeframe,</w:t>
      </w:r>
    </w:p>
    <w:p>
      <w:r>
        <w:rPr>
          <w:b/>
        </w:rPr>
        <w:t>[Pages 4–6]</w:t>
      </w:r>
    </w:p>
    <w:p>
      <w:r>
        <w:t xml:space="preserve">JURISPRUDENCE  </w:t>
        <w:br/>
        <w:t xml:space="preserve">The request for information was reiterated on February 17, 2012 (pages 2.645 to 2.653.1), to which a response was received on March 2, 2011 (pages 2.718 to 2.720), completed with a subsequent document dated March 5, 2012 (pages 2.723 to 2.729).  </w:t>
        <w:br/>
        <w:t xml:space="preserve">17. On February 6, 2012, the DI sent a new request for information to ORACLE (pages 2.510 to 2.516), to which the entity submitted a document that was received by the CNC on February 24, 2012 (pages 2.689 to 2.694), arguing that it was not in a position to provide the estimates requested by the DI. Due to the lack of response in that document to the request, the DI reiterated the request for information to ORACLE on February 28, 2012 (pages 2.697 to 2.702), quantifying the daily coercive fine to be imposed in case of lack of response (pages 2.711 to 2.715). ORACLE's response to this reiteration was received on March 6, 2012, in its confidential version (pages 2.730 to 2.899) and on March 13, 2012, in its non-confidential version (pages 2.952 to 2.953). The DI considered that with this response ORACLE continued to neglect its duty of cooperation and its obligation to provide a complete response to the CNC's request of February 6, 2011, so it addressed ORACLE again on March 16, 2012, to reiterate the request for information, specifying the coercive fine up to that date for the delay in fulfilling that obligation (pages 3.007 to 3.011). ORACLE's partial response to the information requested in the new reiteration was received by the CNC on March 20, 2012 (pages 3.013 to 3.058).  </w:t>
        <w:br/>
        <w:t xml:space="preserve">18. On February 17, 2012, the DI sent a new request for information to Microsoft (pages 2.654 to 2.659), to which a response was received by the CNC on February 24, 2012 (pages 2.695 and 2.696).  </w:t>
        <w:br/>
        <w:t xml:space="preserve">19. On February 27, 2012, ORACLE submitted a document requesting the archiving of the proceedings based on various reasons (pages 2.703 to 2.710).  </w:t>
        <w:br/>
        <w:t xml:space="preserve">20. On March 13, 2012, HP submitted a document (pages 2.906 to 2.945) providing certain supplementary documentation.  </w:t>
        <w:br/>
        <w:t xml:space="preserve">21. On March 13, 2012, the DI sent a request for information to HP (pages 2.946 to 2.951), to which a response was received by the CNC on March 20, 2012 (pages 3.060 to 3.116).  </w:t>
        <w:br/>
        <w:t xml:space="preserve">22. On March 16, 2012, by agreement of the instructor (pages 2.967 and 2.968), certain documentation in paper format from various websites was incorporated into the file (pages 2.969 to 3.006).  </w:t>
        <w:br/>
        <w:t xml:space="preserve">23. On March 21, 2012, the DI formulated the Statement of Facts (PCH) which was notified to HP (pages 3.212 to 3.301 and 3.392) and ORACLE (pages 3.302 to 3.391 and 3.393) on March 23, 2012. Along with this notification, ORACLE was requested to provide its total turnover for the year 2011.  </w:t>
        <w:br/>
        <w:t xml:space="preserve">24. On April 20, 2012, a document from ORACLE (pages 3.801 to 4.242) was received by the CNC, making allegations regarding the PCH, which was supplemented on April 23, 2012, with the submission of two additional versions of the same (pages 4.244 to 4.382). Along with its allegations, ORACLE requested that the maximum period for issuing and notifying the Resolution be suspended in order to cooperate and coordinate actions with the European Union according to Article 37.1 c) of the LDC.  </w:t>
        <w:br/>
        <w:t xml:space="preserve">25. On April 24, 2012, a document from HP (pages 4.403 to 4.545) was received by the CNC, making allegations regarding the PCH, which was supplemented on April 26, 2012, with the submission of its non-confidential version (pages 4.547 to 4.632).  </w:t>
        <w:br/>
        <w:t xml:space="preserve">26. On March 21, 2012, a document from ORACLE was received by the CNC, requesting the lifting of confidentiality on part of the documentation, mostly provided by HP, which had been declared provisionally confidential by the DI (pages 3.394 to 3.405).  </w:t>
        <w:br/>
        <w:t xml:space="preserve">27. On March 23, 2012, the request for lifting confidentiality from ORACLE was forwarded to HP, so that it could state what it deemed appropriate regarding the lifting of confidentiality of the documents provided by HP (pages 3.406 to 3.408).  </w:t>
        <w:br/>
        <w:t xml:space="preserve">28. On March 26, 2012, ORACLE provided the complete response to the DI's request for information of February 6, 2012 (pages 3.411 to 3.416 and 3.479 to 3.483).  </w:t>
        <w:br/>
        <w:t xml:space="preserve">29. On March 30, 2012, the DI agreed to impose a coercive fine on ORACLE of 26,400 euros (pages 3.447 to 3.450), for having failed to comply with the duty of cooperation with the CNC, as referred to in antecedent 17.  </w:t>
        <w:br/>
        <w:t xml:space="preserve">The imposition of this coercive fine was appealed by ORACLE before the Council of the CNC (file R/0101/12) on April 11, 2012. The appeal was dismissed by Resolution of the Council on July 10, 2012, which was appealed before the contentious-administrative jurisdiction. The appeal (rec. 462/2012) was upheld by the AN by judgment of December 26, 2013, because the information requested by the CNC was not within the disposal sphere of the appellant.  </w:t>
        <w:br/>
        <w:t xml:space="preserve">30. On April 12, 2012, HP's allegations (pages 3.488 to 3.786) regarding ORACLE's request for lifting confidentiality of March 21, 2012, were received by the CNC. In this document, HP partially lifts the confidentiality previously requested.  </w:t>
        <w:br/>
        <w:t xml:space="preserve">31. On April 26, 2012, the DI issued an agreement regarding ORACLE's request for lifting confidentiality of March 21, 2012, in which it partially granted ORACLE's request, but also partially denied the requested lifting (pages 4.384 to 4.393). This agreement was appealed by ORACLE before the Council of the CNC (file R/103/12) on May 10, 2012. The Council dismissed the appeal by Resolution of July 9, 2012, which was appealed before the contentious-administrative jurisdiction. On May 15, 2013, the decree of withdrawal was declared firm (rec. 470/2012).  </w:t>
        <w:br/>
        <w:t xml:space="preserve">32. On May 9, 2012, a document from the Directorate General of Competition of the European Commission (pages 4.908 to 4.910) was received, requesting a copy of the PCH of March 21, 2012, as well as ORACLE's allegations regarding it. This information was sent to the European Commission on May 10, 2012 (pages 4.912 to 4.914), with ORACLE being informed of the submission to the European Commission of its allegations to the PCH on the same May 10, 2012 (pages 4.915 to 4.919).  </w:t>
        <w:br/>
        <w:t xml:space="preserve">33. On May 24, 2012, a document from ORACLE was received by the CNC, in which it requested the lifting of confidentiality on part of HP's allegations to the PCH that had been declared provisionally confidential by the DI (pages 5.019 to 5.030). This request from ORACLE was forwarded to HP on May 25, 2012 (pages 5.031 to 5.035), so that it could state what it deemed appropriate.  </w:t>
        <w:br/>
        <w:t xml:space="preserve">34. HP's document regarding the lifting of confidentiality on part of its allegations to the PCH was received by the CNC on June 4, 2012 (pages 5.041 to 5.178), along with a new non-confidential version of its allegations to the PCH.  </w:t>
        <w:br/>
        <w:t xml:space="preserve">35. On June 6, 2012, the DI agreed to close the instruction phase and notified the parties on June 21, 2012.  </w:t>
        <w:br/>
        <w:t xml:space="preserve">36. On June 22, 2012, the DI formulated the Proposal for Resolution (PR) which was notified to the parties on the same date.  </w:t>
        <w:br/>
        <w:t xml:space="preserve">37. On July 9, 2012, the DI issued an Agreement resolving the request submitted by ORACLE on May 24, 2012, regarding the lifting of confidentiality. This agreement was appealed by ORACLE before the Council of the CNC (file R/111/12) on July 27, 2012. The appeal was dismissed by Resolution of the Council on October 17, 2012.  </w:t>
        <w:br/>
        <w:t xml:space="preserve">38. On July 18, 2012, ORACLE's allegations to the PR were received by the CNC. On July 20, 2012, HP's allegations to the PR were received by the CNC.  </w:t>
        <w:br/>
        <w:t xml:space="preserve">39. On July 19, 2012, the DI submitted its Report and Proposal for Resolution to the Council.  </w:t>
        <w:br/>
        <w:t xml:space="preserve">40. On July 31, 2012, a document from ORACLE was received, requesting that the deadline for the procedure be suspended for coordination with the European Commission and any other national competition authority that might be analyzing the same conduct.  </w:t>
        <w:br/>
        <w:t xml:space="preserve">41. On September 3, 2012, the Council agreed to request allegations from the parties regarding the possibility of suspending the calculation of the maximum period for resolution while the European Commission makes a decision on the same conduct. The Agreement was notified to the parties on September 7, 2012, and on September 13, the allegations were received. The Council, in its meeting on September 19, agreed not to suspend the procedure without prejudice to the application of Article 37.2 a) of the LDC, in the event that the European Commission initiated proceedings for the same facts. This Agreement was notified to the parties.  </w:t>
        <w:br/>
        <w:t xml:space="preserve">42. On September 5, 2012, a document from ORACLE was received by the CNC informing that they had made a public statement indicating that they would continue the software developments for the Itanium processor.  </w:t>
        <w:br/>
        <w:t xml:space="preserve">43. On September 20, 2012, a document from HP was received by the CNC informing about the decision of August 28, 2012, of the Superior Court of California, Santa Clara County.  </w:t>
        <w:br/>
        <w:t xml:space="preserve">44. On November 21, 2012, additional allegations from ORACLE were received by the CNC in which, furthermore, it requested a hearing if it was decided not to archive the file.  </w:t>
        <w:br/>
        <w:t xml:space="preserve">45. On November 26, 2012, the Council issued an Agreement for the referral to the European Commission of the Proposal for Resolution of the file in the terms indicated in Article 11.4 of Regulation 1/2003, of December 16, 2002, regarding the application of the competition rules provided in Articles 81 and 82 of the Treaty (hereinafter, Regulation 1/2003), informing the interested parties and suspending, based on Article 37.2.c) of Law 15/2007, the calculation of the maximum period for resolving the file until the European Commission responded to the information submitted. After the 30-day period referred to in the last mentioned provision had elapsed, by Agreement of December 27, 2012, the resumption of the calculation of the maximum period to resolve the reference file was agreed upon and notified. The EC sent a document stating its position on December 22, 2012 (pages 9184 to 9189).  </w:t>
        <w:br/>
        <w:t xml:space="preserve">46. On December 10 and 20, 2012, additional allegations from HP were received by the CNC (pages 8046 to 8066).  </w:t>
        <w:br/>
        <w:t xml:space="preserve">47. On January 17, 2013, a document was submitted to the CNC containing allegations from HP reiterating non-confidential versions of the written allegations submitted to the Council on September 20 and December 10 and 20, 2012 (pages 8077-8100). On February 25, 2013, ORACLE submitted a document providing allegations (pages 8101 to 8110).  </w:t>
        <w:br/>
        <w:t xml:space="preserve">48. On February 26, 2013, the Council of the CNC issued a resolution of file S/0354/11, agreeing that the existence of an infringement of Article 2 of the LDC and Article 102 TFEU had not been proven and resolving to archive the sanctioning file (pages 8111 to 8193).  </w:t>
        <w:br/>
        <w:t xml:space="preserve">49. HP filed a contentious-administrative appeal before the National Court (AN) against this resolution, leading to the Judgment of Section 6 of the Contentious-Administrative Chamber of the National Court of September 24, 2015 (appeal number 06/0168/2013), which partially upheld its claims, ordering that "the Competition Chamber issue a new resolution in which it considers the proven facts established by the Investigation Commission in the contested proposal for resolution." (Pages 8440 to 8474, hereinafter, the Judgment of the AN).  </w:t>
        <w:br/>
        <w:t xml:space="preserve">50. This judgment was appealed in cassation by ORACLE and by the CNMC, resulting in the judgment of the TS number 583/2018 of April 10, 2018 (cassation appeal number 3568/2015) (hereinafter, the Judgment of the TS), in whose execution this resolution is issued, which partially upheld the appeal of these companies, declaring "the aforementioned resolution annulled, ordering the National Commission of Markets and Competition to revert the administrative procedure to the moment prior to the decision to archive and resume processing, collecting the information and carrying out, if applicable, the complementary evidence deemed necessary, and then resolve what is appropriate in a reasoned manner" (pages 8440 to 8474). The testimony of this judgment, with expression of its firmness, was received in this Commission on July 20, 2018 (page 8471.1).  </w:t>
        <w:br/>
        <w:t xml:space="preserve">51. On September 21, 2018, HP submitted a document indicating the change of corporate name of the companies Hewlett Packard Company and Hewlett Packard Española, S.L to HP Inc. and HP Printing and Computing Solutions, SLU., respectively (pages 8402 to 8487).  </w:t>
        <w:br/>
        <w:t xml:space="preserve">52. On October 4, 2018, the Competition Chamber of the CNMC agreed (pages 8488 to 8490):  </w:t>
        <w:br/>
        <w:t xml:space="preserve">a. To revert the actions to the moment of elevation by the instructing body of the report and proposal for resolution in compliance with Article 50.5 of the LDC and resume its processing.  </w:t>
        <w:br/>
        <w:t xml:space="preserve">b. To summon ORACLE and HP to present the allegations they deem appropriate within 15 days, as well as the information and documentation they have regarding this procedure and the analyzed practices.  </w:t>
        <w:br/>
        <w:t xml:space="preserve">53. On November 13, 2018, after accessing the file following the agreement of October 18, 2018, and being granted an extension of 7 working days on October 22, 2018, a document was received from HP in which it expressed its unfavorable opinion on the necessity of carrying out evidence different from those already performed, of complementary actions, of oral hearing, and of submitting new documentation to the EU authorities. The document was accompanied by the evidence presented before the AN (pages 8576 to 8861).  </w:t>
        <w:br/>
        <w:t xml:space="preserve">54. On November 14, 2018, after being granted an extension of 7 working days on October 19, 2018, a document was received from ORACLE requesting the admission of the proposed evidence, the holding of a hearing in accordance with Article 51.3 of the LDC, and the declaration of confidentiality of the submitted document and its annexed documents (pages 8862 to 9104).  </w:t>
        <w:br/>
        <w:t xml:space="preserve">55. On November 22, 2018, the resolution and the judicial decision of the TS were notified to the European Commission in accordance with Article 11.4 of Regulation 1/2003, suspending the calculation of the period for resolution for 30 days (pages 9105 to 9113).  </w:t>
        <w:br/>
        <w:t xml:space="preserve">56. On November 27, 2018, and December 10, 2018, HP and ORACLE requested access to the file. Access to the file was granted to both companies on December 14, 2018.  </w:t>
        <w:br/>
        <w:t>57. On December 21, 2018, ORACLE submitted to the CNMC a document of allegations in which it responded to the document of allegations submitted by HP on November 13, 2018, and requested that a resolution be issued in accordance with its document of allegations submitted on November 14.</w:t>
      </w:r>
    </w:p>
    <w:p>
      <w:r>
        <w:rPr>
          <w:b/>
        </w:rPr>
        <w:t>[Pages 7–9]</w:t>
      </w:r>
    </w:p>
    <w:p>
      <w:r>
        <w:t xml:space="preserve">JURISPRUDENCE  </w:t>
        <w:br/>
        <w:t xml:space="preserve">58. On December 28, 2018, HP submitted a written statement to the CNMC requesting the rejection of the confidentiality requested by ORACLE in its written allegations of November 14, 2018, and the incorporation into the file of one of the reports that accompanied said written statement, and requested a hearing procedure to assess the evidence presented and the content of the response from the European Commission.  </w:t>
        <w:br/>
        <w:t xml:space="preserve">59. This resolution was approved by the Competition Chamber in its session of February 20, 2019.  </w:t>
        <w:br/>
        <w:t xml:space="preserve">SECOND.- In view of the aforementioned background, we must start to assess the plaintiff's claim (directed, as we have indicated, at the annulment of the appealed resolution and for this Chamber to declare "... that Oracle's dominant position and the violations of articles 2 of the LDC and 102 of the TFEU reported have been proven... Decide on the appropriate culpability judgment..." and "... Impose on Oracle the corresponding fine...") from what was resolved in the Supreme Court judgment of April 10, 2018, appeal no. 583/18, which, after overturning and annulling that of this Chamber and Section of September 24, 2015, appeal no. 168/13, provided the following:  </w:t>
        <w:br/>
        <w:t xml:space="preserve">"The contentious-administrative appeal filed on behalf of the entities HEWLETT PACKARD CIA and HEWLETT PACKARD ESPAÑOLA, S.L. against the resolution of the National Competition Commission of February 26, 2013, in which, understanding that the existence of a violation of article 2 of the Competition Defense Law and article 102 of the Treaty on the Functioning of the European Union had not been sufficiently proven, the sanctioning file initiated against the entities Oracle Corporation and Oracle Ibérica, SRL was archived, is partially upheld, with the aforementioned resolution being annulled, ordering the National Markets and Competition Commission to revert the administrative procedure to the moment prior to the decision to archive and resume processing, collecting the information and, if necessary, conducting any complementary evidence deemed necessary, and then resolving appropriately in a reasoned manner."  </w:t>
        <w:br/>
        <w:t xml:space="preserve">In execution of the ruling, the National Markets and Competition Commission (CNMC) issued the resolution of February 20, 2019, here appealed, by which it literally agreed to "Declare, under the protection of article 53.1 c) of Law 15/2007, of July 3, on Competition Defense, that in the present file the existence of a violation of article 2 of Law 15/2007, of July 3, on Competition Defense and article 102 of the Treaty on the Functioning of the European Union has not been sufficiently proven, in the terms proposed by the Investigation Directorate of the former National Competition Commission."  </w:t>
        <w:br/>
        <w:t xml:space="preserve">Therefore, the object of the procedure we are now resolving must be limited to determining whether this resolution, in accordance with the grounds it incorporates and that precede its dispositive part, complies in its strict terms with the Supreme Court judgment in whose execution it has been issued.  </w:t>
        <w:br/>
        <w:t xml:space="preserve">It is necessary to keep in mind in order to delimit the scope of the pronouncement that can be made here, and notwithstanding the claims made by the appellant, the criticism that the Supreme Court makes of the judgment of this Chamber. Thus, and in light of the then CNC's decision to declare that the existence of a violation of article 2 of the LDC and article 102 TFEU had not been sufficiently proven, and to therefore agree to archive the sanctioning file, it highlights the following:  </w:t>
        <w:br/>
        <w:t xml:space="preserve">"In the case at hand, it is important to emphasize that the appealed judgment does not reproach the CNMC for having acted arbitrarily in the assessment of the evidence, nor does it declare that there has been a manifest error in the appreciation of any means of evidence; and, finally, it does not indicate a specific legal violation that the Council of the CNMC may have incurred in examining the evidentiary material or in interpreting and applying articles 2 of the Competition Defense Law and 102 of the TFEU. In other words, the judgment does not state that the actions of the Council of the CNC have incurred a deficiency or legal violation that would compel a conclusion that there is no other viable alternative but to accept the account of facts recorded in the proposal of the Investigation Directorate. It simply happens that the judgment of the National Court considers the assessment of the facts carried out by the Investigation Directorate to be more accurate, whose account is substantially accepted in the second legal ground of the judgment. And, based on that appreciation, it orders the Competition Chamber of the CNMC to "(...) issue a new resolution in which it considers the proven facts established by the Investigation Commission in the challenged resolution proposal to be accredited, also understanding that the existence of a violation due to abuse of dominant position has occurred...".  </w:t>
        <w:br/>
        <w:t xml:space="preserve">We therefore understand that what the appealed judgment reproaches the CNC resolution is not having properly justified the decision to archive the file; and this, because the National Court Chamber considers that the body that agreed to the archive did not carry out an adequate assessment of the evidentiary material. Well, according to the jurisprudence we have previously referred to, what is appropriate in such a case is not for the judicial body to establish by itself the facts that must be considered proven - not even based on assuming as such those established by the Investigation Directorate in its proposal - and much less that between the judgment to legally qualify such facts and to expressly state that the conduct constitutes a violation, but that it must order that the administrative procedure be reverted to the moment prior to the decision to archive so that the acting body resumes processing, collecting the information and, if necessary, conducting the complementary evidence deemed necessary, and then resolve appropriately in a reasoned manner."  </w:t>
        <w:br/>
        <w:t xml:space="preserve">Therefore, what we must examine is whether the CNMC has reverted the procedure to the moment prior to the decision to archive and subsequently resumed its processing, confirming that, in fact, in that process it has collected the information and, if necessary, conducted the evidence it deemed necessary to finally, and based on such information and collected evidentiary material, issue a sufficiently reasoned resolution.  </w:t>
        <w:br/>
        <w:t xml:space="preserve">A decision that, as we know, has been to declare that the existence of a violation of article 2 of Law 15/2007, of July 3, on Competition Defense and article 102 of the Treaty on the Functioning of the European Union has not been sufficiently proven.  </w:t>
        <w:br/>
        <w:t xml:space="preserve">All of this also serves to delimit the grounds for appeal that HP alleges in its extensive claim and, from this moment on, exclude the invocation it makes to the exercise of full jurisdiction by this National Court when it requests that it declare that "... Oracle's dominant position and the violations of articles 2 of the LDC and 102 of the TFEU reported have been proven...", decide also "... on the appropriate culpability judgment", and finally "... impose on Oracle the corresponding fine", which is clearly contrary to the scope of decision marked by the Supreme Court judgment.  </w:t>
        <w:br/>
        <w:t xml:space="preserve">THIRD.- HP argues in the claim, as a premise for its analysis, that "... the TS shares with the AN that the Council of the CNC 'did not carry out a detailed assessment of the available evidentiary material, nor did it examine with the necessary diligence the relationship of facts that the Investigation Directorate recorded in its proposal as proven' (FD Fourth of the STS, page 25)."  </w:t>
        <w:br/>
        <w:t xml:space="preserve">And it adds that "... the STS itself recognizes that what the AN could have done is to point out that the actions of the Council of the CNC incurred a deficiency or legal violation that compels a conclusion that there is no other viable alternative but to accept the account of facts recorded in the PdR of the DI (FD Third of the STS, page 23), but considers that it overstepped by legally qualifying said facts by expressly stating that Oracle's conduct constituted an abuse of dominant position."  </w:t>
        <w:br/>
        <w:t xml:space="preserve">We do not share this conclusion because, contrary to what HP claims, the Supreme Court did not confirm in any way the proven facts that the resolution proposal accepts and that the judgment of this Chamber of September 24, 2015, assumed by providing that "... the Competition Chamber issues a new resolution in which it considers the proven facts established by the Investigation Commission in the challenged resolution proposal to be accredited, also understanding that the existence of a violation due to abuse of dominant position contemplated in article 2 of the LDC and 102 of the TFEU in relation to article 62.3.b of Law 15/07 has occurred."  </w:t>
        <w:br/>
        <w:t xml:space="preserve">In fact, the Supreme Court admits, just like the National Court, that the resolution that ordered the archiving of the file did not carry out a detailed assessment of the available evidentiary material, nor did it examine with the necessary diligence the relationship of facts that the Investigation Directorate recorded in its proposal as proven, but at no time does it declare that such facts had indeed been proven. Moreover, it reproaches the instance Chamber that, in light of the insufficient assessment of the evidence by the CNC, it is the judicial body that "... establishes by itself the facts that must be considered proven - not even based on assuming as such those established by the Investigation Directorate in its proposal - and much less that between the judgment to legally qualify such facts and to expressly state that the conduct constitutes a violation...".  </w:t>
        <w:br/>
        <w:t xml:space="preserve">This is a necessary consequence of the criterion followed by the Supreme Court in cases where, as in the present case, the legality of the decision to archive a sanctioning procedure is judged, and the judicial body understands that it has been agreed without the necessary investigative actions being carried out.  </w:t>
        <w:br/>
        <w:t xml:space="preserve">In such cases, what is appropriate is to revert the file to the moment prior to the decision to archive so that it is the Administration itself, which ultimately holds the sanctioning power, that carries out the investigative actions that were omitted, or if necessary, the additional evidence required, and then resolves in a reasoned manner regarding the responsibility of the sanctioned party or orders the archiving of the procedure.  </w:t>
        <w:br/>
        <w:t xml:space="preserve">All of this determines that the pronouncement we can make here is necessarily limited in those terms, which excludes that this Chamber, as the acting entity intends in its claim, declares that "... Oracle's dominant position and the violations of articles 2 of the LDC and 102 of the TFEU reported have been proven"; "Decide on the appropriate culpability judgment"; and "Impose on Oracle the corresponding fine."  </w:t>
        <w:br/>
        <w:t xml:space="preserve">And this would mean usurping a power, that of sanctioning, which belongs solely to the Administration, which has decided in this case not to exercise it for the reasons stated in the appealed resolution.  </w:t>
        <w:br/>
        <w:t xml:space="preserve">The Supreme Court judgment of April 10, 2018, precisely criticizes that this Chamber decided "... what the proven facts are in relation to a sanctioning procedure that has not yet concluded, so that with its decision the judicial body has determined a substantial part of the content of the administrative resolution that must be issued, thereby deviating from the jurisprudence related to the scope of judicial control over the declarations of file closure of the sanctioning procedure and ultimately violating Article 24 of the Constitution." And it also censures that "... the instance Chamber not only pronounces on the facts that must be considered proven but also on their legal qualification, affirming the existence of a violation due to abuse of dominant position, leaving only to the CNMV the appreciation of culpability and the sanction that may be imposed." To which it adds the following: "Well, whenever on previous occasions this Chamber has considered contrary to law the decision to archive or dismiss a sanctioning procedure, for example, for not being properly motivated the administrative resolution that ordered the archiving, we have been careful to point out that it does not correspond to the judicial body to replace the defective motivation, being appropriate for the judgment to indicate the factual and legal aspects that the challenged administrative agreement left unexamined. This can be seen in this sense in our judgment of September 21, 2015 (cassation 4179/2012, F.J. 6)."  </w:t>
        <w:br/>
        <w:t xml:space="preserve">It should not be forgotten, moreover, that the judgment we are now pronouncing is not issued in execution of the aforementioned Supreme Court judgment. In it, it annulled that of this Chamber of September 24, 2015, and ordered, we insist, the CNMC to "... revert the administrative procedure to the moment prior to the decision to archive and resume processing, collecting the information and conducting, if necessary, the complementary evidence deemed necessary, and then resolve appropriately in a reasoned manner."  </w:t>
        <w:br/>
        <w:t xml:space="preserve">Therefore, what we review is the legality of what has been done by the CNMC in execution of what was ordered by the Supreme Court, and this with the limits expressly marked by it regarding the possible pronouncements that can be made here.  </w:t>
        <w:br/>
        <w:t xml:space="preserve">FOURTH.- After the above considerations, it is also advisable to pause on the specific pronouncement of the appealed resolution, which concludes that "... in the present file the existence of a violation of article 2 of Law 15/2007, of July 3, on Competition Defense and article 102 of the Treaty on the Functioning of the European Union has not been sufficiently proven, in the terms proposed by the Investigation Directorate of the former National Competition Commission."  </w:t>
        <w:br/>
        <w:t xml:space="preserve">This conclusion is preceded by a recount of facts that the CNMC considers proven (pages 29 to 52 of the resolution) according to the evidence it also describes. Facts that it summarizes as follows:  </w:t>
        <w:br/>
        <w:t xml:space="preserve">"1. HP and ORACLE had maintained a fluid working relationship for over 25 years until the reported events occurred.  </w:t>
        <w:br/>
        <w:t xml:space="preserve">2. The vast majority of the production of Intel's Itanium processor in 2010 was purchased by HP to be used in its Integrity server line.  </w:t>
        <w:br/>
        <w:t xml:space="preserve">3. Effective from September 24, 2009, ORACLE reduced the core factor of the new license of the Enterprise Edition of Oracle Database for servers using the Ultrasparc t2+ processor from SUN by 33%.  </w:t>
        <w:br/>
        <w:t xml:space="preserve">4. On September 9, 2010, ORACLE stated that it planned to continue making its products compatible with HP's Integrity servers just as it did with other major servers based on the UNIX operating system.  </w:t>
        <w:br/>
        <w:t xml:space="preserve">5. Effective from December 1, 2010, ORACLE doubled the core factor of the new license of the Enterprise Edition of Oracle Database for servers using the Intel Itanium 9320 processor, purchased from that date.  </w:t>
        <w:br/>
        <w:t xml:space="preserve">6. On March 22, 2011, ORACLE announced that it would stop making all its new software compatible with the Itanium processor.  </w:t>
        <w:br/>
        <w:t xml:space="preserve">7. On February 8, 2010, Intel publicly announced that it planned to market two new versions of the Itanium processor with the codenames Poulson and Kittson.  </w:t>
        <w:br/>
        <w:t xml:space="preserve">8. Following the announcement that it would stop developing new software for the Itanium processor, ORACLE began preparing commercial initiatives to attract HP Integrity server customers in the new competitive context, initiatives that were subsequently carried out.  </w:t>
        <w:br/>
        <w:t>9.</w:t>
      </w:r>
    </w:p>
    <w:p>
      <w:r>
        <w:rPr>
          <w:b/>
        </w:rPr>
        <w:t>[Pages 10–12]</w:t>
      </w:r>
    </w:p>
    <w:p>
      <w:r>
        <w:t xml:space="preserve">JURISPRUDENCE  </w:t>
        <w:br/>
        <w:t xml:space="preserve">9. The sales staff of ORACLE interpreted that with its announcement of March 22, 2011, it was declaring the technological obsolescence of the Itanium processor. Internal documents from HP and reports from specialized consulting firms had taken into account the uncertain future of Itanium since at least 2009 and Intel's limited interest in its development.  </w:t>
        <w:br/>
        <w:t xml:space="preserve">10. For customers using HP servers based on Itanium and Oracle Database, it was less costly and risky to replace the server rather than the database.  </w:t>
        <w:br/>
        <w:t xml:space="preserve">11. A significant number of consumers who used HP servers based on the Itanium processor and Oracle Database reported being harmed by ORACLE's announcement to stop making its new software compatible with that processor. Such complaints were anticipated by ORACLE.  </w:t>
        <w:br/>
        <w:t xml:space="preserve">12. HP offered ORACLE to fully assume the cost of porting the new version of Oracle Database (12g) to the Itanium processor on November 30, 2011, in the precautionary measures procedure before the French Competition Authority and reiterated it before the CNMC.  </w:t>
        <w:br/>
        <w:t xml:space="preserve">Regarding the evidence supporting such facts, it is related in the same resolution. And particularly significant regarding this issue of evidence, which is specifically referenced by the Supreme Court ruling of 2018, are the considerations contained in the challenged resolution, which dedicates section 5.1 of its legal reasoning precisely to the request for evidence. It states that "In its writing of November 13, HP refers to and attaches 6 documentary annexes related to writings and reports incorporated into appeal 168/2013, followed before the National Court. Although the party does not formally propose any evidence, such documentation is incorporated into the file (pages 8576 to 8861).  </w:t>
        <w:br/>
        <w:t xml:space="preserve">For its part, ORACLE proposes, in its writing of November 13, that the 6 annexes accompanying it be incorporated as documentary evidence, including the report prepared by RBB Economics, dated November 9, 2018, which it attaches as annex 3 (pages 8862 to 9101).  </w:t>
        <w:br/>
        <w:t xml:space="preserve">After analyzing the suitability of the evidence proposed by the companies, this Chamber considers it pertinent to incorporate all the documentary evidence provided by the parties along with their written allegations to the agreement for the retroaction of proceedings dated October 4, 2018, without prejudice to its assessment."  </w:t>
        <w:br/>
        <w:t xml:space="preserve">In this section, the CNMC reasons about the relevance of the evidence proposed by ORACLE, to which HP opposes. And it fully admits the evidence provided by HP.  </w:t>
        <w:br/>
        <w:t xml:space="preserve">Also, for these purposes, it is particularly significant that HP has not proposed any evidence during the course of this process, limiting itself to requesting the conclusion phase.  </w:t>
        <w:br/>
        <w:t xml:space="preserve">Furthermore, the resolution describes the terms of the proposal from the Directorate of Investigation (DI) that urged the declaration of "... a single and continuous infringement, for prohibited conduct under articles 2 of the LDC and 102 of the TFEU, consisting of:  </w:t>
        <w:br/>
        <w:t xml:space="preserve">- modifying the core factor that applies to the new licenses of the Enterprise Edition of Oracle Database:  </w:t>
        <w:br/>
        <w:t xml:space="preserve">. effective from September 24, 2009, of the UltraSPARC T2+ processor from SUN, changing it from 0.75 to 0.5, and  </w:t>
        <w:br/>
        <w:t xml:space="preserve">. effective from December 1, 2010, of the Itanium 9300 processor from INTEL, changing it from 0.5 to 1, or announcing that ORACLE will stop making new versions of Oracle Database compatible with the Itanium processor from INTEL, primarily used by HP's high-end servers."  </w:t>
        <w:br/>
        <w:t xml:space="preserve">It also explains in detail the reasons that, according to this proposal, would justify the position of the DI.  </w:t>
        <w:br/>
        <w:t xml:space="preserve">And based on that description, it dedicates the bulk of its reasoning (Fourth section of the Legal Grounds) to the assessment that the proven facts deserve from the Competition Chamber, questioning in a reasoned manner the conclusions of the proposed resolution and its justifications.  </w:t>
        <w:br/>
        <w:t xml:space="preserve">In summary, the resolution first analyzes the relevant product market and states that the definition of the same proposed by the DI in this file deviates from the definition adopted by the European Commission in the Oracle/Sun decision. It explains in detail the reasons that lead it to that assertion, although it concludes that "... the exact delimitation of the market related to databases, while a determining factor for ORACLE's dominant position, does not change the conclusions of this resolution insofar as, as will be seen later, an infringement of competition law has not been proven, regardless of whether it is defined in a narrower manner."  </w:t>
        <w:br/>
        <w:t xml:space="preserve">It then examines the impact on the server market and determines, also after the reasoning reflected in section 4.1.2, that "From the above, according to the Chamber's criteria, the relevant product market is the high-end server market. This market would consist of mainframe servers, servers based on RISC or EPIC architectures, and there are not sufficient reasons to exclude architectures based on x86 processors considering that they already exerted significant competitive pressure on the other mentioned servers."  </w:t>
        <w:br/>
        <w:t xml:space="preserve">Based on that definition of the relevant market, it is in a position to analyze whether ORACLE occupies a dominant position in it, as a necessary prerequisite to attribute to it an infringement of article 2 of the LDC and 102 of the TFEU.  </w:t>
        <w:br/>
        <w:t xml:space="preserve">In that analysis, it examines the market shares of the company and other competitors incorporating the tables that are also included in the resolution, from which it concludes that "ORACLE's market shares, while not sufficient by themselves to prove the existence of a dominant position, reflect the leadership position that ORACLE had in the database market. In either case, it is observed that IBM and Microsoft also present high shares, as each represents shares of between 15 and 20% of the affected product market. As noted, the shares reflect the market situation at a specific point in time. To decide whether ORACLE has the necessary capacity to act independently in the market, it is also necessary to analyze the barriers to entry and expansion present in the database market."  </w:t>
        <w:br/>
        <w:t xml:space="preserve">It dedicates section 4.2.2 to the confirmation of the existence of barriers to entry and expansion under various criteria (High fixed costs and economies of scale; Network effects; Switching costs; Reputation), all of which allows it to state that "... this Chamber, in line with the European Commission in the Oracle/Sun file, considers that it cannot be concluded that ORACLE has an individual dominant position in the high-performance relational database market as proposed by the DI. Nevertheless, and given the limitations of the analysis caused by a definition of the relevant market different from the instruction, it is necessary to analyze whether ORACLE's conduct, if it were in a dominant position in the database market, could constitute an abuse under article 102 of the TFEU and article 2 of the LDC."  </w:t>
        <w:br/>
        <w:t xml:space="preserve">In the analysis that follows (section 4.3), the CNMC raises the issue of the unique nature of the infringement since both the DI and HP understood that the infringement would have that character because the two alleged abusive conducts, the modification of the core factor and ORACLE's announcement to cease compatibility, would be part of a common exclusionary strategy.  </w:t>
        <w:br/>
        <w:t xml:space="preserve">And in that analysis, the resolution makes an indication of undeniable interest and with which we now agree when it states that "... the application of the criteria proposed by HP in its allegations based on the judgment of the AN is not appropriate. First, the TS undoubtedly states that the AN should not have referred to the legal qualification of the conducts or their fit within an infringing type, so the TS has not affirmed at any time the appropriateness of applying such criteria.  </w:t>
        <w:br/>
        <w:t xml:space="preserve">Secondly, the proposed legal test is based on a annulled judgment, after the appeal, resolved by the Grand Chamber of the CJEU, in the same Intel matter. The CJEU accepted Intel's allegation criticizing the fact that the General Court, in the paragraphs referred to by HP in its writing of conclusions before the AN, admits that its practices can be qualified as abuse of dominant position, without having previously examined all the circumstances of the matter and without having analyzed the likelihood that such conduct would cause a restriction of competition."  </w:t>
        <w:br/>
        <w:t xml:space="preserve">The reasons it lists justify a separate examination of the two conducts in order to ascertain whether each of them meets the necessary requirements to detect an abusive discrimination and the refusal to supply.  </w:t>
        <w:br/>
        <w:t xml:space="preserve">And this is what the CNMC carries out in sections 4.4, on abusive price discrimination through the modification of the core factor; and 4.5, regarding ORACLE's refusal to make its new software compatible with servers using the Itanium processor.  </w:t>
        <w:br/>
        <w:t xml:space="preserve">Regarding the first, it considers, based on the reasons it presents, that it has not been proven that ORACLE's conduct of modifying the core factor produced an abusive discrimination against HP, and this is because HP is not a contracting party of ORACLE, because it has not been proven that there is an equivalence of the services between the UltraSPARC T2+ processors and the Itanium processors, and because HP, it says, has not suffered a competitive disadvantage in the sense of article 102, paragraphs one and two, letter c) of the TFEU and article 2.2, letter d) of the LDC.  </w:t>
        <w:br/>
        <w:t xml:space="preserve">And regarding ORACLE's refusal to make its new software compatible with servers using the Itanium processor, it declares, after conducting an examination of the proven circumstances, that ORACLE's decision to stop making its future versions of Oracle Database compatible with servers using the Itanium platform would not constitute an abuse in the sense of article 102 of the TFEU and article 2 of the LDC because, first, the input was not indispensable; and, secondly, and as a consequence of the previous point, it would not have the capacity to eliminate effective competition in the server market.  </w:t>
        <w:br/>
        <w:t xml:space="preserve">To exclude the existence of a possible abusive discrimination, the resolution analyzes in detail the arguments included in the PCH, which it states are not sufficient to prove HP's competitive disadvantage according to the legal requirements necessary to declare an abusive discrimination based on article 102.2, letter c) and article 2, letter d) of the LDC.  </w:t>
        <w:br/>
        <w:t xml:space="preserve">A conclusion it supports with two considerations by stating, on the one hand, that "... the change in ORACLE's compatibility policy, by itself, is not capable of meeting the requirements of an abusive discrimination and, as indicated, discrimination cannot be treated as an exclusionary abuse, without a thorough analysis of the equivalence of the servers using RISC/EPIC technology."  </w:t>
        <w:br/>
        <w:t xml:space="preserve">And, on the other hand, that "... the assessment of the evidence in the file regarding whether ORACLE, acting as a diligent entrepreneur and competitor of HP, could understand that the obsolescence of the Itanium processor was sufficiently close to condition its investment decision on a certain future product from which HP would benefit, would have to take into account that the strategic decision to invest in the development of a future product is not made solely on the basis of an analysis of the short-term returns of that product, but also on its long-term viability, especially in such a dynamic sector as technology, where companies must focus their financial and human resources on emerging new technologies. Therefore, while the Itanium platform may have offered substantial returns to ORACLE in the year prior to the controversial decision, this cannot be the only factor in making a decision about the future viability of an investment in that platform."  </w:t>
        <w:br/>
        <w:t xml:space="preserve">FIFTH.- Based on all of the above, we are in a position to affirm that the challenged resolution, by declaring that the abuse of dominant position has not been proven, has indeed carried out an assessment of the available evidentiary material and conducted a sufficient examination of the factual relationship provided by the Directorate of Investigation, in the terms required by the Supreme Court, such that it can only be concluded that its judgment has been executed in its own and strict terms.  </w:t>
        <w:br/>
        <w:t xml:space="preserve">Indeed, and taking into account the scope of the pronouncement that corresponds to this Chamber when reviewing the legality of a resolution of the CNMC Council adopted in the terms of article 53.1.c) of Law 15/2007, of July 3, on the Defense of Competition, we must resolve that this decision has a sufficient justification and is motivated in light of the proven facts and the legal reasoning it also reflects.  </w:t>
        <w:br/>
        <w:t xml:space="preserve">Against the arguments put forward by the claimant, we must insist first that the request for the Chamber to "... under the protection of articles 24, 103 of the Constitution and 71.1b) of the LJCA, order the CNMC Council to issue a new resolution that, based on the SAN and the STS: i) Declares that ORACLE's dominant position and the infringements of articles 2 of the LDC and 102 of the TFEU have been proven; (ii) Decides on the appropriate culpability judgment; and (iii) Imposes the corresponding fine on Oracle" is incompatible with the pronouncement that can be made here and that expressly recalls the repeatedly stated judgment of the Supreme Court in whose execution the challenged resolution has been issued.  </w:t>
        <w:br/>
        <w:t xml:space="preserve">It is not a matter of calling for the exercise of full jurisdiction that the acting entity refers to when making that request; in fact, what it demands is that this Chamber act as a sanctioning body when it is true that it lacks that power, that of sanctioning, which belongs solely, as we have said before, to the Administration, in this case to the CNMC Council. Thus, the demand that we declare the existence of an infringement of article 2 of the same LDC or 102 of the TFEU would constitute an open violation of the provisions of article 53.1.a) of Law 15/2007. In addition to contravening the criteria expressed by the Supreme Court in this regard.  </w:t>
        <w:br/>
        <w:t xml:space="preserve">Therefore, there is no injury to articles 24 and 103 of the Constitution and 71.1.b) of the LJCA invoked by ORACLE, but rather, on the contrary, strict compliance with the legal norm that attributes the power to declare the commission of the infringement and to sanction in these cases to the CNMC Council, which is the one that has exercised it.  </w:t>
        <w:br/>
        <w:t>SIXTH.- Regarding the other infringements that, in the opinion of the claimant, would have been committed in this case, it alleges that "... the CNMC Resolution incurs serious violations of the legal system that are determinative of its nullity and annulability, under the provisions of articles 47 and 48 of Law 39/2015, of October 1, on the Common Administrative Procedure of Public Administrations ("LPAC"), particularly due to the fact that:</w:t>
      </w:r>
    </w:p>
    <w:p>
      <w:r>
        <w:rPr>
          <w:b/>
        </w:rPr>
        <w:t>[Pages 13–15]</w:t>
      </w:r>
    </w:p>
    <w:p>
      <w:r>
        <w:t xml:space="preserve">JURISPRUDENCE  </w:t>
        <w:br/>
        <w:t xml:space="preserve">(a) There is a clear contradiction between what is indicated in the proven facts of the CNC's own Resolution, confirmed by the AN and the TS, and the (insufficient and incorrect) legal reasoning provided by the Council in the CNMC Resolution.  </w:t>
        <w:br/>
        <w:t xml:space="preserve">(b) The CNMC Resolution makes an erroneous assessment of the evidence presented regarding the definition of the market and an erroneous application of the applicable law and jurisprudence in this regard.  </w:t>
        <w:br/>
        <w:t xml:space="preserve">(c) The CNMC Resolution makes an erroneous assessment of the evidence presented regarding the existence of Oracle's dominant position, and an erroneous application of the applicable law and jurisprudence in this regard.  </w:t>
        <w:br/>
        <w:t xml:space="preserve">(d) The CNMC Resolution makes an erroneous assessment of the evidence regarding the existence of abusive conduct and an erroneous application of the applicable law and jurisprudence in this regard.  </w:t>
        <w:br/>
        <w:t xml:space="preserve">It must be reiterated, firstly, that the Supreme Court has in no way confirmed the proven facts in the terms asserted by ORACLE.  </w:t>
        <w:br/>
        <w:t xml:space="preserve">In no passage of the judgment of April 10, 2018, is such confirmation made, nor is the new pronouncement to which the Supreme Court's decision leads conditioned on the respect or maintenance of the proven facts. It is only required that a new sufficiently motivated resolution be issued, once the information has been gathered and the evidence that is deemed necessary has been presented. This is precisely what the CNMC has done in the appealed resolution, as we have stated before.  </w:t>
        <w:br/>
        <w:t xml:space="preserve">The appellant's considerations regarding the erroneous assessment of the evidence and the erroneous application of the applicable law and jurisprudence are based on a particular interpretation by HP.  </w:t>
        <w:br/>
        <w:t xml:space="preserve">Thus, a large part of the complaint is dedicated to justifying that the CNMC has made an incorrect definition of the relevant market, with consequences for determining the dominant position that ORACLE would hold in it.  </w:t>
        <w:br/>
        <w:t xml:space="preserve">In this regard, it is noted that the CNMC Council considers that the delimitation of a narrower relevant product market than that which includes all RDBMS has not been sufficiently demonstrated, and that the market for servers where the effects of the conduct occur is that of high-end servers (including architectures based on x-86 processors, without distinction); and it argues that these considerations are incorrect with arguments that contradict those presented in the appealed resolution, to which we have referred before, constituting a contradiction of criteria that in no way evidences the error or illegality of the CNMC's actions in delimiting the relevant market.  </w:t>
        <w:br/>
        <w:t xml:space="preserve">It reflects what it considers to be errors of the Council in a table in which it merely presents considerations that would support its interpretation, but which lack any factual support since, as we said, it did not even request the receipt of the process for evidence. Thus, the conclusion that "... within the RDBMS market, between 2009 and 2011, a narrower market of high-performance RDBMS could be differentiated, while, in the server market, a high-end segment could be identified (those based on EPIC/RISC processors) that does not include servers based on x-86 processors (at least, without a doubt, those with fewer than 8 sockets, as identified by the DI and the AN)" is nothing more than a particular appreciation.  </w:t>
        <w:br/>
        <w:t xml:space="preserve">Similarly, the assertions regarding the dominant position that ORACLE would hold and that contradict those made by the CNMC in this regard, and that foster the conclusions about the different positions of HP and the CNMC Council also included in a comparative table in the complaint, do not allow this Chamber to assume that the claimant's criterion should prevail over that adopted by the resolution being appealed.  </w:t>
        <w:br/>
        <w:t xml:space="preserve">Indeed, the CNMC's position in this regard is justified by an analysis that takes into account other factors in addition to market share, as it expressly warns when addressing this issue, since it also considers what it qualifies as more dynamic factors, such as entry and expansion barriers.  </w:t>
        <w:br/>
        <w:t xml:space="preserve">The data analyzed in the resolution, based on the definition of the relevant market that it describes, leads it to recognize that ORACLE's market shares, while not sufficient by themselves to prove the existence of a dominant position, reflect the leadership position it held in the database market, noting, however, that IBM and Microsoft also present high shares, as each of them represents shares of between 15 and 20% of the affected product market.  </w:t>
        <w:br/>
        <w:t xml:space="preserve">But to determine whether ORACLE, the resolution states, had the necessary capacity to act independently in the market, it is necessary to analyze the entry and expansion barriers that occur in the database market. And it is precisely this analysis (which takes into consideration factors such as high fixed costs and economies of scale, network effects, switching costs, or reputation) that leads the CNMC to conclude that ORACLE did not have an individual dominant position in the high-performance relational database market.  </w:t>
        <w:br/>
        <w:t xml:space="preserve">HP also questions the CNMC's conclusions regarding the justification of the single and continuous infringement.  </w:t>
        <w:br/>
        <w:t xml:space="preserve">The resolution, based on the two behaviors attributed to ORACLE by the DI (modification of the core factor and announcement of ceasing to make its database software compatible with servers using the Itanium processor), reasons why it must pronounce on the behaviors separately in order to determine whether they meet the applicable legal requirements, understanding that "... they must have the effect of expelling HP from the market analyzed separately, because if separately they do not meet the legal requirements to declare the existence of an abuse, they cannot jointly form part of a common exclusionary strategy that led to a single infringement."  </w:t>
        <w:br/>
        <w:t xml:space="preserve">The claimant questions this assertion and argues that "... it is completely incorrect from a legal point of view, insofar as both the European Commission and the European Courts have considered on several occasions, both before and after the CNMC Resolution, the existence of single and continuous infringements of Article 102 TFEU when the behaviors developed by a dominant company, assessed as a whole, are part of a common exclusionary strategy and, therefore, constitute abusive conduct, even though each of the behaviors considered separately may not be restrictive."  </w:t>
        <w:br/>
        <w:t xml:space="preserve">Well, it must be noted that the considerations that HP includes in its complaint do not question that a separate analysis of the behaviors attributed to ORACLE is carried out, as it states in its response to the complaint and reiterates in its conclusions.  </w:t>
        <w:br/>
        <w:t xml:space="preserve">What HP says is that it is possible to observe the existence of single and continuous infringements of Article 102 TFEU when the behaviors developed by a dominant company, assessed as a whole, are part of a common exclusionary strategy and, therefore, constitute abusive conduct, even though each of the behaviors considered separately may not be restrictive.  </w:t>
        <w:br/>
        <w:t xml:space="preserve">And this thesis would find support, among other pronouncements, in the judgment of the TGUE T-486/11 cited by the same claimant, in which paragraph 136 states that "In recital 713 of the contested Decision, the Commission highlighted that the TP practices, described in previous paragraphs 128 to 135, produced a cumulative effect on the OA, who encountered obstacles at each stage of the process of accessing TP's wholesale products. It indicated that, although each of the obstacles created by TP, considered separately, might not seem very obstructive, when assessed together they formed an abusive conduct aimed at closing OA's access to the wholesale broadband access market. As a conclusion, the Commission classified the abuse of dominant position committed by the claimant as a single and continuous infringement (Article 1 of the contested Decision)."  </w:t>
        <w:br/>
        <w:t xml:space="preserve">It is also supported by the TGUE judgment of July 1, 2010, issued in the AstraZeneca case (T-321/05), which was confirmed by the CJEU in a judgment of December 6, 2012 (C-457/10), referring to its paragraph 892 in which it states the following:  </w:t>
        <w:br/>
        <w:t xml:space="preserve">"In this regard, it should be noted that the concept of single and continuous infringement refers to a set of actions that are part of a common plan, due to their identical object, which distorts the competition within the common market (judgment Aalborg Portland and others/Commission, cited in paragraph 870 above, paragraph 258). To qualify different actions as a single and continuous infringement, it is necessary to verify whether they present a link of complementarity, in the sense that each of them is intended to address one or more consequences of the normal functioning of competition, and contribute, through interaction, to the achievement of the objectives contemplated within this overall plan. In this regard, any circumstance capable of demonstrating or disproving such a link must be taken into account, such as the period of application, the content (including the methods used), and, correlatively, the objective of the various behaviors in question (judgment of the Court of December 12, 2007, BASF and UCB/Commission, T-101/05 and T-111/05, Rec. p. II-4949, paragraphs 179 and 181)."  </w:t>
        <w:br/>
        <w:t xml:space="preserve">In the opinion of this Chamber, such pronouncements, while not categorical, do allow for questioning the CNMC's assertion, which is, according to which the two behaviors attributed to ORACLE "... must have the effect of expelling HP from the market analyzed separately, because if separately they do not meet the legal requirements to declare the existence of an abuse, they cannot jointly form part of a common exclusionary strategy that led to a single infringement."  </w:t>
        <w:br/>
        <w:t xml:space="preserve">But admitted this, the consequence cannot be that the infringement would have been proven, as ORACLE claims.  </w:t>
        <w:br/>
        <w:t xml:space="preserve">Indeed, the CNMC first pronounces on the potential abusive price discrimination through the modification of the core factor (paragraph 4.4 of the resolution), concluding that it cannot be considered proven that ORACLE's conduct, in carrying out such modification, produced an abusive discrimination against HP since, firstly, it is not a contracting party of ORACLE; on the other hand, it has not been proven that there is an equivalence of the services between the UltraSPARC T2+ processors and the Itanium processors; and, thirdly, HP would not have suffered a competitive disadvantage in the sense of Article 102, paragraphs one and two, letter c) of the TFEU and Article 2.2, letter d) of the LDC.  </w:t>
        <w:br/>
        <w:t xml:space="preserve">Furthermore, it also examines the scope of ORACLE's refusal to make its new software compatible with servers using the Itanium processor (paragraph 4.5), concluding that its decision to cease compatibility of its future versions of Oracle Database with servers using the Itanium platform does not constitute an abuse in the sense of Article 102 of the TFEU and Article 2 of the LDC since the input was not indispensable, and that, as a result, it would not have the capacity to eliminate effective competition in the server market. On the other hand, it admits that the decision made by ORACLE had a strategic character as a diligent businessman and competitor of HP, in the terms described in paragraph 4.5.2.  </w:t>
        <w:br/>
        <w:t xml:space="preserve">And it is worth highlighting at this point the fact that HP did not request the receipt of the lawsuit for evidence at the procedurally appropriate time, which could have allowed it, if applicable, to disprove the facts on which the aforementioned conclusions of the CNMC are based.  </w:t>
        <w:br/>
        <w:t xml:space="preserve">SEVENTH.-Finally, we cannot fail to insist, in light of the assumptions from which the appellant entity starts, that the judgment of the Supreme Court of April 10, 2018, appeal no. 3568/2015, from which the challenged resolution originates, not only annuls the resolution of the extinct CNC of February 26, 2013, and orders that the administrative procedure be "... reverted to the moment prior to the decision to archive and resume processing, gathering the information and carrying out, if necessary, the complementary evidence deemed necessary, and then resolve what is appropriate in a motivated manner"; but also clearly limits the scope of the pronouncement that this Chamber can make when reviewing the legality of the actions taken by the CNMC, and excludes in any case that it can establish by itself the facts that must be declared proven - not even, it says, based on assuming as such those established by the Directorate of Investigation in its proposal - "... and much less that between the judgment to legally qualify such facts and to expressly state that the conduct constitutes an infringement."  </w:t>
        <w:br/>
        <w:t xml:space="preserve">All of this is also a consequence, as we anticipated, of the ownership of the power to sanction, solely attributed to the Administration, which in this case has led it to consider that the commission of the infringement has not been proven in the terms of Article 53.1.c) of Law 15/2007. A conclusion that is preceded by a motivation that we have considered sufficient, in accordance with what has been stated in the previous grounds, and whose factual basis has not been disproven by the acting entity.  </w:t>
        <w:br/>
        <w:t xml:space="preserve">This determines that the appeal must be dismissed.  </w:t>
        <w:br/>
        <w:t xml:space="preserve">EIGHTH.-The costs of this instance shall be borne by the acting entity in application of the provisions of Article 139.1 of the Law regulating Contentious-Administrative Jurisdiction.  </w:t>
        <w:br/>
        <w:t xml:space="preserve">HAVING SEEN the cited articles and others of general and pertinent application,  </w:t>
        <w:br/>
        <w:t xml:space="preserve">WE DECREE  </w:t>
        <w:br/>
        <w:t xml:space="preserve">To dismiss the contentious-administrative appeal filed by the Attorney Dª Gloria Robledo Machuca on behalf of HP INC. and HP PRINTING AND COMPUTING SOLUTIONS, S.L.U. (jointly referred to as "HP") against the resolution of February 20, 2019, of the Competition Chamber of the National Commission of Markets and Competition, by which it was agreed to declare that in file S/0354/11 the existence of an infringement of Article 2 of Law 15/2007, of July 3, on the Defense of Competition, had not been sufficiently proven. Resolution that we declare to be in accordance with the law.  </w:t>
        <w:br/>
        <w:t xml:space="preserve">With express imposition of costs on the acting party.  </w:t>
        <w:br/>
        <w:t xml:space="preserve">This judgment, which will be notified in the manner provided for in Article 248 of the Organic Law of the Judiciary, is subject to cassation appeal, which must be prepared before this Chamber within 30 days from the day following its notification; in the written preparation of the appeal, compliance with the requirements established in Article 89.2 of the Jurisdiction Law must be demonstrated justifying the objective cassation interest presented.  </w:t>
        <w:br/>
        <w:t>What we pronounce, command, and 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