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https://www.cnmc.es/expedientes/s035811</w:t>
      </w:r>
    </w:p>
    <w:p>
      <w:r>
        <w:t>Pages translated : 7</w:t>
      </w:r>
    </w:p>
    <w:p/>
    <w:p>
      <w:r>
        <w:rPr>
          <w:b/>
        </w:rPr>
        <w:t>[Pages 1–3]</w:t>
      </w:r>
    </w:p>
    <w:p>
      <w:r>
        <w:t xml:space="preserve">CNC  </w:t>
        <w:br/>
        <w:t xml:space="preserve">NATIONAL COMMISSION ON COMPETITION  </w:t>
        <w:br/>
        <w:t xml:space="preserve">RESOLUTION  </w:t>
        <w:br/>
        <w:t xml:space="preserve">Expte. S/0358/11, Normark Spain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Diez Martín, Councilor  </w:t>
        <w:br/>
        <w:t xml:space="preserve">In Madrid, on September 18, 2012  </w:t>
        <w:br/>
        <w:t xml:space="preserve">The Council of the National Competition Commission, with the composition expressed and being the Rapporteur Councilor Mr. Julio Costas Comesaña, has issued the following Resolution in the reserved information file S/0358/11, initiated ex officio by the Investigation Directorate of the National Competition Commission following the complaint filed by Náutica Queen Rouse de Mazagón, S.L. against Normark Spain S.A. and Grupo Rapala VMC, for alleged conduct of resale price fixing and refusal to supply prohibited by Articles 1 and 2 of Law 15/2007, of July 3, on the Defense of Competition.  </w:t>
        <w:br/>
        <w:t xml:space="preserve">FACTUAL BACKGROUND  </w:t>
        <w:br/>
        <w:t xml:space="preserve">1. On May 25, 2011, a letter was received in the Investigation Directorate (hereinafter, DI) of the National Competition Commission (hereinafter, CNC) from [...], on behalf of Náutica Queen Rouse de Mazagón, S.L. (hereinafter, Náutica Mazagón) in which a complaint is made against Normark Spain S.A. (hereinafter, Normark) and Grupo Rapala VMC for alleged prohibited conduct under Law 15/2007, of July 3, on the Defense of Competition (hereinafter, LDC).  </w:t>
        <w:br/>
        <w:t>These conducts consist of Normark reducing the amount of credit for the payment of invoices that had been previously agreed with Náutica Mazagón, requiring cash payment for invoices that had previously been agreed as installment payments, and the refusal to supply its products, all as a consequence, according to the complainant, of its refusal to follow Normark's recommendation to raise the prices of its products (folios 1 to 79).</w:t>
      </w:r>
    </w:p>
    <w:p>
      <w:r>
        <w:t xml:space="preserve">According to the complainant, the facts would imply an indirect price fixing and an unjustified refusal to supply goods, which would infringe Article 1.1.a) of Law 15/2007, of July 3, on the Defense of Competition (LDC).  </w:t>
        <w:br/>
        <w:t xml:space="preserve">2. In order to ascertain the reality of the reported facts as much as possible to determine if there might be indications of infringement, in accordance with Article 39 of the LDC, the DI agreed to carry out a reserved investigation as a preliminary measure prior to the initiation of the corresponding proceedings, if applicable.  </w:t>
        <w:br/>
        <w:t xml:space="preserve">3. According to the Proposal for Dismissal by the DI dated May 8, 2012, submitted to this Council of the National Competition Commission, along with all the actions carried out, in accordance with the provisions of Article 49.3 of the LDC:  </w:t>
        <w:br/>
        <w:t xml:space="preserve">3.1. The complainant, Náutica Queen Rouse de Mazagón, S.L. is a commercial company of Spanish nationality whose corporate purpose is activities related to nautical services, maintenance, repair, and transportation of recreational boats, the buying and selling of all kinds of fishing articles, and the buying and selling of movable and immovable property (folio 92). Its registered office is in Huelva (folio 93). It conducts its sales at the commercial establishment selling sporting fishing articles located in Mazagón (Huelva) and through its online store www.nauticamazagon.com (folio 2).  </w:t>
        <w:br/>
        <w:t xml:space="preserve">3.2. Defendants:  </w:t>
        <w:br/>
        <w:t xml:space="preserve">Grupo Rapala VMC is a Finnish company primarily engaged in the manufacture and distribution of sports and leisure articles, particularly articles related to the practice of sport fishing. It has subsidiaries in 33 countries. The Group comprises 51 companies, including Normark Spain S.A. (folios 212, 213, and 226). Its registered office is in Helsinki (Finland) (folio 84).  </w:t>
        <w:br/>
        <w:t xml:space="preserve">Normark Spain S.A. (Normark) is the only subsidiary of Grupo Rapala VMC in Spain. It is 100% owned by said Group. Its registered office is in San Agustín de Guadalix (Madrid). Its main activity consists of the wholesale distribution of the Group's products in Spain, Portugal, and coordinating the distribution of these products in Latin America (folios 213).  </w:t>
        <w:br/>
        <w:t xml:space="preserve">Normark is the exclusive distributor of the Group's products in Spain. It distributes to both specialized retailers and large surfaces. The subsidiaries of Grupo Rapala distribute the products manufactured by the company directly in those countries where they are active. In principle, Grupo Rapala does not market its products to independent distributors in the markets where it has direct presence through any of its subsidiaries.  </w:t>
        <w:br/>
        <w:t xml:space="preserve">3.3. Established Facts:  </w:t>
        <w:br/>
        <w:t>1°.- The activity of the parties falls within the sector of distribution of products necessary for the practice of sport fishing. Within this sector,</w:t>
      </w:r>
    </w:p>
    <w:p>
      <w:r>
        <w:t xml:space="preserve">NATIONAL COMMISSION ON COMPETITION  </w:t>
        <w:br/>
        <w:t xml:space="preserve">four major groups of products can be distinguished: rods, reels, lines, and lures. Residually, Normark also distributes some complementary accessories such as tools, clothing, or other equipment (folio 216).  </w:t>
        <w:br/>
        <w:t xml:space="preserve">2°.- The main competitors of Normark are listed in the following table (folio 215):  </w:t>
        <w:br/>
        <w:t xml:space="preserve">Group Subsidiaries of the Group Turnover Brands  </w:t>
        <w:br/>
        <w:t xml:space="preserve">Rapala, VMC, Storm, Shimano,  </w:t>
        <w:br/>
        <w:t xml:space="preserve">Sufix, PowerPRO, Williamson,  </w:t>
        <w:br/>
        <w:t xml:space="preserve">RAPALA Normark Spain S.A.U. 6,221,634 (2010)  </w:t>
        <w:br/>
        <w:t xml:space="preserve">TriggerX, Dynamite Bites,  </w:t>
        <w:br/>
        <w:t xml:space="preserve">Marttini  </w:t>
        <w:br/>
        <w:t xml:space="preserve">Yo-Zuri, Tica, Kalikunan, Mustad,  </w:t>
        <w:br/>
        <w:t xml:space="preserve">Calico S.A. 6,463,818 (2010/09) Fuji, Sunline, Shakespeare,  </w:t>
        <w:br/>
        <w:t xml:space="preserve">Ledlenser  </w:t>
        <w:br/>
        <w:t xml:space="preserve">CALICO Daiwa, Cormoran, Power bait,  </w:t>
        <w:br/>
        <w:t xml:space="preserve">Pesca Sports S.A. 2,767,486 (2010)  </w:t>
        <w:br/>
        <w:t xml:space="preserve">TSK, Toray  </w:t>
        <w:br/>
        <w:t xml:space="preserve">Manufacturas Deportivas Viper Abu Garcia, Berkley, Mitchell,  </w:t>
        <w:br/>
        <w:t xml:space="preserve">4,653,334 (2010)  </w:t>
        <w:br/>
        <w:t xml:space="preserve">S.A. Hayabusa, Fenwick, Stren  </w:t>
        <w:br/>
        <w:t xml:space="preserve">Okuma, Hart, Yamashita, Maria,  </w:t>
        <w:br/>
        <w:t xml:space="preserve">Suministros Evia S.L. 7,727,497 (2010)  </w:t>
        <w:br/>
        <w:t xml:space="preserve">Asari, Iridium, Vercelli, Skyway  </w:t>
        <w:br/>
        <w:t xml:space="preserve">EVIA International Fishing Equipment, Multimarca, also distributes  </w:t>
        <w:br/>
        <w:t xml:space="preserve">639,803 (2010)  </w:t>
        <w:br/>
        <w:t xml:space="preserve">S.A. Normark brands  </w:t>
        <w:br/>
        <w:t xml:space="preserve">Grauwell, Tenax, Teklon, Vorteks,  </w:t>
        <w:br/>
        <w:t xml:space="preserve">Grauvell Fishing, S.A. 3,593,666 (2010)  </w:t>
        <w:br/>
        <w:t xml:space="preserve">Titan  </w:t>
        <w:br/>
        <w:t xml:space="preserve">Artfishing, S.L. 2,285,307 (2010) Artfishing, Yuki  </w:t>
        <w:br/>
        <w:t xml:space="preserve">Source: Annual accounts of the various companies. The turnover includes the net business figure.  </w:t>
        <w:br/>
        <w:t xml:space="preserve">Although this information is not limited to sporting fishing products, in view of the presence of these companies in the market, NORMARK estimates that these figures may constitute an adequate reference to assess the position of each of them in the market, although in the case of some of them, this position could be overstated due to their presence in other sectors.  </w:t>
        <w:br/>
        <w:t xml:space="preserve">According to the data provided by Normark Spain, S.A. based on an estimate of the total volume of the wholesale market in Spain for sporting fishing products between 90,000,000 and 65,000,000 US dollars in 2011, published in the Tackle Trade magazine of November 2011, p. 47, the shares of Normark Spain and its competitors are (folios 216, 227, 228, and 229):  </w:t>
        <w:br/>
        <w:t xml:space="preserve">COMPANY RELATIVE POSITION  </w:t>
        <w:br/>
        <w:t xml:space="preserve">Calico Less than 30%  </w:t>
        <w:br/>
        <w:t xml:space="preserve">Evia Less than 20%  </w:t>
        <w:br/>
        <w:t xml:space="preserve">Normark Less than 15%  </w:t>
        <w:br/>
        <w:t xml:space="preserve">Grauwell Less than 10%  </w:t>
        <w:br/>
        <w:t>Artfishing Less than 5%</w:t>
      </w:r>
    </w:p>
    <w:p>
      <w:r>
        <w:rPr>
          <w:b/>
        </w:rPr>
        <w:t>[Pages 4–6]</w:t>
      </w:r>
    </w:p>
    <w:p>
      <w:r>
        <w:t>NATIONAL COMMISSION ON COMPETITION</w:t>
      </w:r>
    </w:p>
    <w:p>
      <w:r>
        <w:t>Others Less than 50%</w:t>
      </w:r>
    </w:p>
    <w:p>
      <w:r>
        <w:t>Total market 100%</w:t>
      </w:r>
    </w:p>
    <w:p>
      <w:r>
        <w:t>3°.- The prices that Normark applies to its customers are reflected in an annual catalog which includes the product rates and the general sales conditions applicable to customers (folios 230 to 381).</w:t>
      </w:r>
    </w:p>
    <w:p>
      <w:r>
        <w:t>As explained by Normark (folio 216), its customers typically place an order that includes the overall needs each customer estimates for the current season. They can also place specific orders to meet product needs that arise after the initial order is made. Based on the volume of the initial order, Normark applies certain discounts. These discounts are included in the general sales conditions (folios 383 and 384). Normark also conducts specific volume discount campaigns for product families.</w:t>
      </w:r>
    </w:p>
    <w:p>
      <w:r>
        <w:t>The general conditions of Normark establish the deadlines for making payment of invoices effective. However, the flexibility of the supplier in applying payment conditions may depend, in each case, on three factors: a) the amount of the order; b) the credit limit accepted by Normark's financial department; and c) the nature of the order (seasonal orders versus replenishment orders).</w:t>
      </w:r>
    </w:p>
    <w:p>
      <w:r>
        <w:t>In its commercial relationships, Normark grants its customers a certain credit, meaning that they can reach an amount in pending and not overdue invoices at the time of placing an order. This credit is not part of negotiations with customers nor is it reflected in any document, but rather it is a threshold of tolerance allowed by the company's financial department to facilitate the processing of customer orders while limiting the risk of non-payment of invoices. Given that the purpose of this credit is to facilitate the receipt and servicing of orders while protecting the company's operations from the risk of non-payment, the credit granted to a customer may vary over time, depending on their solvency conditions. To the extent that the amount of these credits aims to minimize commercial risk, the company considers various factors to modulate its amount, such as (a) public financial data of the customers, (b) the solvency of the customer or their partners, or (c) in general, the behavior shown by the customer in their commercial relationship with Normark. As indicated by the company, when a customer exceeds the credit threshold, Normark only fulfills orders when that customer pays in cash, so that the negative balance does not increase. Due to the impact these credits have on the company's accounts, they are under continuous supervision by the financial department (folio 218).</w:t>
      </w:r>
    </w:p>
    <w:p>
      <w:r>
        <w:t>4°.- Normark has been supplying Náutica Mazagón with sporting fishing items under the same general payment conditions applicable to all customers, which included the installment payment of invoices and the granting of credit to purchase products.</w:t>
      </w:r>
    </w:p>
    <w:p>
      <w:r>
        <w:t>5°.- As of April 30, 2011, Normark ceased to supply products on credit to Náutica Mazagón due to a conflict between both parties caused, according to Normark, on one hand, by the non-payment of invoices whose copies have been provided by Normark along with bank payment failure receipts (folios 385 to 392); on the other hand, due to the return made by Náutica Mazagón of unpaid merchandise, for which Normark has provided copies of invoices (folios 395 to 399), and finally, due to the reduction of credit that Normark had granted to Náutica Mazagón (folio 221). Due to these breaches, the amount of the overdue debt of Náutica Mazagón to Normark had exceeded the credit that Normark had accepted and assigned to Náutica Mazagón based on the specific characteristics of Náutica Mazagón from the perspective of non-payment risk. Consequently, Normark ceased to accept deferred payments from Náutica as long as its debt remained above the commercially acceptable credit for that moment (folio 218). The suspension of supply, the requirement for cash payment of invoices, and the reduction of credit led, according to Náutica Mazagón, to its complaint to the Directorate of Investigation.</w:t>
      </w:r>
    </w:p>
    <w:p>
      <w:r>
        <w:t>6°.- Following the suspension of supply, Náutica Mazagón published on its website (www.nauticamazagon.com/noticias/nauticamazagon3anos-online/) an offer for an item marketed by Normark corresponding to the 2012 season (folio 431). Additionally, Náutica Mazagón published a press release dated August 11, 2011, in which it offered products marketed by Normark (folio 433).</w:t>
      </w:r>
    </w:p>
    <w:p>
      <w:r>
        <w:t>4. The Council of the National Competition Commission deliberated on the Proposal for Dismissal and issued this Resolution in its meeting of September 12, 2012.</w:t>
      </w:r>
    </w:p>
    <w:p>
      <w:r>
        <w:t>LEGAL GROUNDS</w:t>
      </w:r>
    </w:p>
    <w:p>
      <w:r>
        <w:t>First.- Purpose of the Resolution</w:t>
      </w:r>
    </w:p>
    <w:p>
      <w:r>
        <w:t>Article 49.1 of the LDC provides that the Directorate of Investigation shall initiate sanctioning proceedings when it observes reasonable indications of the existence of prohibited conduct under Articles 1, 2, and 3 of the Law in the reported facts. In paragraph 3 of the same legal provision, it is added that the Council, at the proposal of the instructing body, shall agree not to initiate sanctioning proceedings and, consequently, the dismissal of the actions taken when it considers that there are no indications of infringement.</w:t>
      </w:r>
    </w:p>
    <w:p>
      <w:r>
        <w:t>In its Proposal of May 8, 2012, the Directorate of Investigation proposes to this Council, in accordance with the provisions of Article 49.3 of the LDC, the non-initiation of the sanctioning procedure, as well as the dismissal of the actions that led to the opening of this reserved investigation S/0358/11, for not observing in the information gathered indications of infringement of the aforementioned Law. Therefore, the purpose of this Resolution is to determine whether the Proposal for Dismissal formulated by the Directorate of Investigation is in accordance with the Law.</w:t>
      </w:r>
    </w:p>
    <w:p>
      <w:r>
        <w:t>Second.- Absence of indications of infringement</w:t>
      </w:r>
    </w:p>
    <w:p>
      <w:r>
        <w:t>The Directorate of Investigation has analyzed in this file of reserved actions whether the suspension of the supply of fishing articles, the requirement for cash payment of invoices, and the reduction of credit by Normark to Náutica Mazagón are restrictive practices of competition prohibited by the LDC, as they constitute a retaliation by Normark as a consequence of Náutica Mazagón's refusal to accept price fixing.</w:t>
      </w:r>
    </w:p>
    <w:p>
      <w:r>
        <w:t>Resale price fixing agreements are conduct that falls under the scope of application of Article 1.1 of the LDC, which prohibits any agreement, decision, or collective recommendation, or concerted or consciously parallel practice, that has the object, produces, or may produce the effect of preventing, restricting, or distorting competition in whole or in part of the national market and, in particular, those that consist of: (...) b) The limitation or control of production, distribution, technical development, or investments.</w:t>
      </w:r>
    </w:p>
    <w:p>
      <w:r>
        <w:t>However, the Council agrees with the Directorate of Investigation that from the actions taken it can be deduced that Normark's decision to reduce the amount of credit to Náutica Mazagón and, subsequently, not to supply products unless they were paid immediately, seems to be justified by the outstanding invoices owed by Náutica Mazagón (point 5° of the factual background 3.3). In any case, in light of the structure of the considered market and the market shares of the companies present in it (point 3° of the factual background 3.3), it would be a commercial disagreement between the parties that could hardly affect the maintenance of effective competition in the market, so it can be concluded that there are no indications of an infringement of Article 1.1 of the LDC.</w:t>
      </w:r>
    </w:p>
    <w:p>
      <w:r>
        <w:t>On the other hand, Article 2 of the LDC prohibits the abusive exploitation by one or more companies of their dominant position in whole or in part of the national market (...) in particular, (...) b) The limitation of production, distribution, or technical development to the unjustified detriment of companies or consumers. (...).</w:t>
      </w:r>
    </w:p>
    <w:p>
      <w:r>
        <w:t>The behaviors described by Náutica Mazagón could constitute an infringement of Article 2 of the LDC if they were being carried out by a company that held a dominant position in the relevant market and if its actions implied an abuse of that position.</w:t>
      </w:r>
    </w:p>
    <w:p>
      <w:r>
        <w:t>For these purposes, the Directorate of Investigation considers the relevant market to be the distribution of sporting fishing articles. In that market, there are several competitors of Normark, among which four stand out, each of which supplies products from various brands for sporting fishing (table 1 of the</w:t>
      </w:r>
    </w:p>
    <w:p>
      <w:r>
        <w:rPr>
          <w:b/>
        </w:rPr>
        <w:t>[Pages 7–7]</w:t>
      </w:r>
    </w:p>
    <w:p>
      <w:r>
        <w:t xml:space="preserve">CNC  </w:t>
        <w:br/>
        <w:t>NATIONAL COMMISSION ON COMPETITION</w:t>
      </w:r>
    </w:p>
    <w:p>
      <w:r>
        <w:t>the facts); Normark has an estimated market share of less than 15% which places it as the third operator (table 2 of the facts) and, furthermore, Náutica Mazagón has been able to obtain products from the brands supplied by Normark after it suspended the supply (point 6° of fact 3.3).</w:t>
      </w:r>
    </w:p>
    <w:p>
      <w:r>
        <w:t>All of the above leads the Directorate of Investigation and this Council to conclude that from the available information there are no indications that Normark holds a dominant position, therefore, there can be no abuse of such position nor, consequently, an infringement of Article 2 LDC.</w:t>
      </w:r>
    </w:p>
    <w:p>
      <w:r>
        <w:t>In light of the above, and considering the cited provisions and those of general application, the Council of the National Competition Commission</w:t>
      </w:r>
    </w:p>
    <w:p>
      <w:r>
        <w:t>HAS RESOLVED</w:t>
      </w:r>
    </w:p>
    <w:p>
      <w:r>
        <w:t>SOLE.- Not to initiate sanctioning proceedings and to archive the reserved information file S/0358/11, initiated ex officio by the Directorate of Investigation of the National Competition Commission following the complaint filed by Náutica Queen Rouse de Mazagón, S.L. against Normark Spain S.A. and Grupo Rapala VMC, as no indications of infringement of Law 15/2007, of July 3, on the Defense of Competition have been observed in the reported actions.</w:t>
      </w:r>
    </w:p>
    <w:p>
      <w:r>
        <w:t>This Resolution shall be communicated to the Directorate of Investigation of the National Competition Commission and notified to the complainant and the accused,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