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https://www.cnmc.es/expedientes/s035911</w:t>
      </w:r>
    </w:p>
    <w:p>
      <w:r>
        <w:t>Pages translated : 41</w:t>
      </w:r>
    </w:p>
    <w:p/>
    <w:p>
      <w:r>
        <w:rPr>
          <w:b/>
        </w:rPr>
        <w:t>[Pages 1–3]</w:t>
      </w:r>
    </w:p>
    <w:p>
      <w:r>
        <w:t xml:space="preserve">RESOLUTION  </w:t>
        <w:br/>
        <w:t xml:space="preserve">(Exp. S/0359/11, ATASA)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March 20, 2013.  </w:t>
        <w:br/>
        <w:t xml:space="preserve">The Council of the National Competition Commission (the Council), with the composition expressed and being the Rapporteur Councilor Mr. Luis Diez Martin, has issued the following Resolution in the file S/0359/11, ATASA, initiated by the Investigation Directorate of the National Competition Commission (DI) against the PROFESSIONAL ASSOCIATION OF VALUATION COMPANIES (ATASA), for restrictive competition practices prohibited in Article 1 of Law 15/2007, of July 3, on the Defense of Competition (LDC).  </w:t>
        <w:br/>
        <w:t xml:space="preserve">FACTUAL BACKGROUND  </w:t>
        <w:br/>
        <w:t xml:space="preserve">1. On June 16, 2011, by virtue of the provisions of Law 1/2002, of February 21, on Coordination of the State and Autonomous Communities in matters of Defense of Competition, a letter from the Competition Defense Agency of Andalusia was received at the National Competition Commission (CNC), which attached a copy of the document "Scale of indicative fees for valuations at the request of commercial registries, tax agencies, courts" prepared on January 11, 2010, by ATASA. This document includes minimum indicative fees for the valuation of real estate, companies, mergers, acquisitions, shares, machinery, furniture, and special properties.  </w:t>
        <w:br/>
        <w:t xml:space="preserve">2. On September 22, 2011, the Investigation Directorate agreed to initiate sanctioning proceedings against ATASA, considering that there are rational indications of the commission, by this association, of an infringement of Article 1 of Law 15/2007, of July 3, on the Defense of Competition (LDC) consisting of collusive conduct of price fixing and/or other commercial or service conditions in the provision of professional appraisal services. The initiation agreement was notified to the interested association (folios 6-10).  </w:t>
        <w:br/>
        <w:t xml:space="preserve">3. On November 7 and 8, 2011, the Investigation Directorate (DI) conducted an inspection at ATASA's headquarters in Madrid, from which the corresponding minutes were drawn up (folios 22-42). ATASA provided the inspectors with statements that were incorporated into the collected documentation (folios 159-165).  </w:t>
        <w:br/>
        <w:t xml:space="preserve">4. On January 10, 2012, the DI agreed to incorporate certain paper documents collected during the inspection into the file and to return those not incorporated. The incorporation agreement was notified to ATASA on January 10 (folios 174-379).  </w:t>
        <w:br/>
        <w:t xml:space="preserve">5. On January 17, 2012, a letter from ATASA was received at the CNC, sending access keys to the Besdatasa database and requesting confidentiality for them as well as for the information that could be obtained from that database (folios 380-381). On January 18, the DI agreed to the confidentiality of the keys, which was notified to ATASA on the same date (folios 382-384).  </w:t>
        <w:br/>
        <w:t xml:space="preserve">6. On January 23, 2012, a letter from ATASA was received at the CNC requesting the declaration of confidentiality for certain paper documents incorporated into the file (folios 387-389), which was agreed upon by the DI on January 30 (folio 391).  </w:t>
        <w:br/>
        <w:t xml:space="preserve">7. On February 22, 2012, the DI agreed to incorporate certain electronic documentation collected during the inspection into the file, which was notified to the association on the same date (folios 392-783).  </w:t>
        <w:br/>
        <w:t xml:space="preserve">8. On March 5, 2012, a letter from ATASA was received at the CNC indicating that it reserves the possibility of requesting confidentiality for any document in case any interested party other than ATASA or any of its associates appears at a later time and requests that some emails incorporated into the file that have not been located on the DVD recorded during the inspection be provided (folios 813-815). This documentation was provided to them on March 7. Likewise, the said DVD was returned (folios 840-843).  </w:t>
        <w:br/>
        <w:t xml:space="preserve">9. On March 5, 2012, certain documentation obtained from the internet and from ATASA's intranet was incorporated into the file (folios 816-837).  </w:t>
        <w:br/>
        <w:t xml:space="preserve">10. On March 28, 2012, certain documentation obtained from the internet was incorporated into the file (folios 864-886).  </w:t>
        <w:br/>
        <w:t xml:space="preserve">11. On February 28, 2012, the DI agreed to request information from ATASA regarding the suggested rates and margins specified in Order ECO/805/2003 and provided monthly by the association to its members, a request that was notified to them the following day (folios 801-807). ATASA's response was received on March 16 (folios 849-854).  </w:t>
        <w:br/>
        <w:t xml:space="preserve">12. On February 29, 2012, the DI agreed to request information from the General Subdirectorate of Legislation and Financial Policy regarding the reasons justifying the establishment, as a minimum, of risk premiums and profit margins of the promoter specified in the Order mentioned in the previous paragraph. The request was notified on March 1 (folios 808-810).  </w:t>
        <w:br/>
        <w:t xml:space="preserve">13. On March 27, 2012, the DI agreed to request information from the General Directorate of Supervision of the Bank of Spain regarding appraisals carried out by technical valuation methods as well as appraisals carried out for Commercial Registries, Tax Agencies, and Courts. The request was notified on March 28 (folios 887-888), and the response was received on April 17 (folios 891-896).  </w:t>
        <w:br/>
        <w:t xml:space="preserve">14. On May 7, 2012, the DI formulated the Statement of Facts (PCH), which was notified on the same day. The allegations to the PCH were received at the CNC on June 6, 2012 (folios 1526-1563).  </w:t>
        <w:br/>
        <w:t xml:space="preserve">15. On May 8, 2012, ATASA was requested to send its associates a request for information regarding their business volume so that they could provide it directly to the Investigation Directorate (folios 981-983), with the requested information being received between May 11 and 28, 2012 (folios 1009-1035; 1038-1048; 1479; 1490-1492; 1498-1518).  </w:t>
        <w:br/>
        <w:t xml:space="preserve">16. On May 8, 2012, information was requested from Sociedad Integral de Valoraciones Automatizadas, S.A. (folios 975-977), Sociedad de Tasación, S.A. (folios 988-990), and TINSA (folios 995-997) regarding their business volume, which was provided by Sociedad Integral de Valoraciones Automatizadas, S.A. on May 22 (folios 1036-1037), by TINSA on May 24 (folios 1480-1489), and by Sociedad de Tasación, S.A. on May 25 (folios 1493-1497).  </w:t>
        <w:br/>
        <w:t xml:space="preserve">17. On May 23, 2012, a letter from ATASA was received at the CNC, proposing the conventional termination of the ongoing procedure, in accordance with the provisions of Articles 52 of the LDC and 39 of the Competition Defense Regulation, approved by Royal Decree 261/08, of February 22 (RDC) (folios 1049-1478). In its letter, ATASA also attached the general lines of what would be its proposal for commitments in order to cease the alleged conduct.  </w:t>
        <w:br/>
        <w:t>18. On May 31, 2012, the DI communicated to ATASA the non-initiation of actions aimed at conventional termination, considering that the investigated conduct, by its very nature, is exhausted in itself, which prevents agreeing to initiate conventional termination, in accordance with the provisions of paragraph 23 of the Communication on conventional termination of sanctioning files published by the CNC.</w:t>
      </w:r>
    </w:p>
    <w:p>
      <w:r>
        <w:rPr>
          <w:b/>
        </w:rPr>
        <w:t>[Pages 4–6]</w:t>
      </w:r>
    </w:p>
    <w:p>
      <w:r>
        <w:t xml:space="preserve">19. On June 7, 2012, information from the General Subdirectorate of Legislation and Financial Policy was received by the CNC in response to the request made by the Directorate of Investigation on February 29, 2012 (folios 1564-1566).  </w:t>
        <w:br/>
        <w:t xml:space="preserve">20. On June 11, 2012, the General Directorate of Supervision of the Bank of Spain was requested for information regarding the update suggestions made by ATASA to its members (folios 1573-1575), with the requested information received on July 9 (folios 1578-1579).  </w:t>
        <w:br/>
        <w:t xml:space="preserve">21. On July 10, 2012, the instruction phase was closed, which was notified on the same day (folios 1580-1582).  </w:t>
        <w:br/>
        <w:t xml:space="preserve">22. On July 18, 2012, the DI submitted its Proposal for Resolution (PR), which was notified to ATASA on the same day.  </w:t>
        <w:br/>
        <w:t xml:space="preserve">23. On August 10, 2012, ATASA's allegations to the PR were received by the CNC. Additionally, throughout August and the first days of September, several writings from ATASA members declaring that they had not applied indicative fee scales were received by the CNC (confidential folios 1688 to 1691 and 1734 to 1774).  </w:t>
        <w:br/>
        <w:t xml:space="preserve">24. On September 5, 2012, the DI submitted its Report and Proposal for Resolution to the Council.  </w:t>
        <w:br/>
        <w:t xml:space="preserve">25. The Council completed its deliberation and ruled on the present case in its session of March 13, 2013.  </w:t>
        <w:br/>
        <w:t xml:space="preserve">26. The interested party in this case is the Professional Association of Valuation Companies (ATASA).  </w:t>
        <w:br/>
        <w:t xml:space="preserve">ACCREDITED FACTS  </w:t>
        <w:br/>
        <w:t xml:space="preserve">1.- THE PARTIES:  </w:t>
        <w:br/>
        <w:t xml:space="preserve">The description contained in the PCH regarding the association affected by the present sanctioning file is as follows:  </w:t>
        <w:br/>
        <w:t>The PROFESSIONAL ASSOCIATION OF VALUATION COMPANIES (ATASA) is a non-profit institution founded in 1985 and constituted by the main companies in the sector. As of November 7, 2011, the 36 members of ATASA (folios 901-907) are reflected in the following table:</w:t>
      </w:r>
    </w:p>
    <w:p>
      <w:r>
        <w:t xml:space="preserve">TABLE 1: ATASA MEMBERS AS OF NOVEMBER 7, 2011  </w:t>
        <w:br/>
        <w:t xml:space="preserve">Afes Técnicas Tasación (Afes) LKS Tasaciones (LKS)  </w:t>
        <w:br/>
        <w:t xml:space="preserve">Alia Tasaciones (Alia) Murciana de Tasaciones (Mutasa)  </w:t>
        <w:br/>
        <w:t xml:space="preserve">Arco Valoraciones (Arco) Servicios Vascos de Tasaciones (Servatas)  </w:t>
        <w:br/>
        <w:t xml:space="preserve">Arquitasa Soc.Tasac. Col Arquit España (Arquitasa) Tasaciones Andaluzas (Tasa)  </w:t>
        <w:br/>
        <w:t xml:space="preserve">Arquitectura y Tasaciones (Artasa) Tasaciones Bienes del Mediterráneo (Tabimed)  </w:t>
        <w:br/>
        <w:t xml:space="preserve">Asevasa Asesoramiento y Valoraciones (Asevasa) Tasaciones Hipotecarias Renta (Thirsa)  </w:t>
        <w:br/>
        <w:t xml:space="preserve">Collectiu d’Arquitectes Taxadors (Catsa) Tasaciones Hipotecarias (TH)  </w:t>
        <w:br/>
        <w:t xml:space="preserve">Compañía de Medios y Servicios de Tasación (CMS) Tasaciones Madrid (Tasamadrid)  </w:t>
        <w:br/>
        <w:t xml:space="preserve">Ebrotasa (Ebrotasa) Tasaciones y Consultoría (Tycsa)  </w:t>
        <w:br/>
        <w:t xml:space="preserve">Eurovaloraciones (Euroval) Tasaciones y Valoraciones Galicia (Tasagalicia)  </w:t>
        <w:br/>
        <w:t xml:space="preserve">Gabinete de Tasaciones Inmobiliarias (GTI) Tasalia Sociedad de Tasación (Tasalia)  </w:t>
        <w:br/>
        <w:t xml:space="preserve">Gestión de Valoraciones y Tasaciones (Gesvalt) Tasasur Sociedad de Tasaciones (Tasasur)  </w:t>
        <w:br/>
        <w:t xml:space="preserve">Global Gestión de Tasaciones (Global) Tasibérica (Tasibérica)  </w:t>
        <w:br/>
        <w:t xml:space="preserve">Ibertasa (Ibertasa) Técnicos en Tasación (Tecnitasa)  </w:t>
        <w:br/>
        <w:t xml:space="preserve">Inmoseguros Tasación (Inmoseguros) Tecglen Tasaciones (Tecglen)  </w:t>
        <w:br/>
        <w:t xml:space="preserve">Inta (Inta) Valoraciones Mediterráneo (Valmesa)  </w:t>
        <w:br/>
        <w:t xml:space="preserve">Internacional Transacciones y Servicios (Intraser) Valoraciones y Tasaciones Hipotecarias (VTH)  </w:t>
        <w:br/>
        <w:t xml:space="preserve">Krata (Krata) Valtecnic  </w:t>
        <w:br/>
        <w:t xml:space="preserve">Source: ATASA  </w:t>
        <w:br/>
        <w:t xml:space="preserve">Until July 2011, the companies Tasaciones Inmobiliarias S.A. (TINSA), Sociedad de Tasación S.A. (ST), and Sociedad Integral de Valoraciones Automatizadas S.A. (SIVASA) were also part of ATASA (folios 766-769).  </w:t>
        <w:br/>
        <w:t xml:space="preserve">Regarding the degree of representativeness of ATASA members in the appraisal sector, the association indicated during the inspection that it is around 60% after the departure from the association (aside from the three members mentioned in the previous paragraph, the company Tasabalear would have left ATASA and Tasalia Sociedad de Tasación, which was not part of it in 2009, would have joined) of some members (folio 36). In the winter of 2009, according to information published in issue 36 of the ATASA magazine, the number of members of the association rose to 39 members (folio 800), which, in their opinion, represented 95% of the sector (folio 796).  </w:t>
        <w:br/>
        <w:t xml:space="preserve">The governing and administrative bodies of ATASA are:  </w:t>
        <w:br/>
        <w:t xml:space="preserve">- The General Assembly: the sovereign body of the association composed of all members. It meets at least twice a year, and its agreements are mandatory for all its members. During the inspection, ATASA stated that the General Assembly usually meets three times a year (folio 36).  </w:t>
        <w:br/>
        <w:t xml:space="preserve">- The Board of Directors: the governing and administrative body of the association. It is composed of a minimum of 5 and a maximum of 9 full members. The term of office for each member is 4 years. During the inspection, ATASA stated that the Board of Directors usually meets between seven and eight times a year (folio 36).  </w:t>
        <w:br/>
        <w:t xml:space="preserve">Alongside the governing bodies, there are two types of commissions in ATASA, permanent and ad hoc. The permanent commissions are those that, due to their strategic importance and intention of permanence, are necessary for the development of ATASA's long-term objectives and must meet when their convenience is justified and at least once a year. The ad hoc commissions, on the other hand, are those that, being important for ATASA's objectives, only require to meet occasionally, with the intention of being limited in duration (folio 154).  </w:t>
        <w:br/>
        <w:t xml:space="preserve">The permanent commissions are as follows:  </w:t>
        <w:br/>
        <w:t xml:space="preserve">- Technical and Statistical. Among its objectives are the promotion of the exchange of information and technical experiences among members; the analysis and proposal of solutions to technical issues requiring study and interpretation; and the study and interpretation of the technical regulations applicable in the valuation sector (folios 155; 347).  </w:t>
        <w:br/>
        <w:t xml:space="preserve">- Conduct, conciliation, and arbitration. Among its objectives are the promotion of measures that improve the relationship between members of the association and between them and third parties; processing of conduct and/or conciliation files (folio 155).  </w:t>
        <w:br/>
        <w:t xml:space="preserve">- Training. Among its objectives is the promotion of professional training among members, the exchange of information and training experiences, and the planning and proposal of courses within and outside the association (folios 36; 156).  </w:t>
        <w:br/>
        <w:t xml:space="preserve">- Institutional relations. Its purpose includes, among others, relations with regulatory/supervisory bodies (AEAT, Bank of Spain, CNMV, General Directorate of the Treasury, etc.), relations with other associations both Spanish and international, as well as the promotion of the prestige and representation of ATASA, its members, and the Spanish valuation companies sector in general (folios 36 and 155).  </w:t>
        <w:br/>
        <w:t xml:space="preserve">2.- THE AFFECTED SECTOR  </w:t>
        <w:br/>
        <w:t xml:space="preserve">Regarding the sector in which the analyzed conduct takes place, the DI provides the following description in the PCH:  </w:t>
        <w:br/>
        <w:t xml:space="preserve">Legal framework  </w:t>
        <w:br/>
        <w:t xml:space="preserve">(22) The appraisal activity, for certain purposes, is a regulated activity aimed at achieving adequate quality of the valuations carried out and thus enhancing the security of the investor or insured. The main applicable provisions are as follows:  </w:t>
        <w:br/>
        <w:t xml:space="preserve">Valuation companies and services  </w:t>
        <w:br/>
        <w:t xml:space="preserve">(23) Royal Decree 775/1997, of May 30, on the legal regime for the approval of appraisal services and companies. Relevant aspects for the purposes of the file are included in the following paragraphs.  </w:t>
        <w:br/>
        <w:t>(24) The approval of appraisal companies and services of credit entities is mandatory for the valuations of real estate they carry out to:</w:t>
      </w:r>
    </w:p>
    <w:p>
      <w:r>
        <w:rPr>
          <w:b/>
        </w:rPr>
        <w:t>[Pages 7–9]</w:t>
      </w:r>
    </w:p>
    <w:p>
      <w:r>
        <w:t>as the monetary consideration in case such use is authorized. Such authorization corresponds to the General Assembly upon the proposal of the Board of Directors.</w:t>
      </w:r>
    </w:p>
    <w:p>
      <w:r>
        <w:t>(24) The approval of appraisal companies and appraisal services of credit entities is mandatory for the valuations of real estate they carry out to:</w:t>
      </w:r>
    </w:p>
    <w:p>
      <w:r>
        <w:t xml:space="preserve">a) Serve as a mortgage guarantee for loans according to the regulations governing the mortgage market.  </w:t>
        <w:br/>
        <w:t xml:space="preserve">b) Serve as coverage for the technical provisions of insurance entities required by private insurance regulations.  </w:t>
        <w:br/>
        <w:t xml:space="preserve">c) Form part of the assets of collective real estate institutions.  </w:t>
        <w:br/>
        <w:t xml:space="preserve">d) Form part of the assets of pension funds.  </w:t>
        <w:br/>
        <w:t>e) Any other instance where the regulations require the valuation to be carried out by an appraisal company or service.</w:t>
      </w:r>
    </w:p>
    <w:p>
      <w:r>
        <w:t>(25) The Bank of Spain is competent for the approval and registration of companies and services in the corresponding special Register.</w:t>
      </w:r>
    </w:p>
    <w:p>
      <w:r>
        <w:t>(26) Appraisal companies and appraisal services of credit entities must comply, to obtain and maintain approval, with several requirements among which is the need to have an organization with the necessary technical and personal means and internal control mechanisms to ensure both an adequate understanding of the situation and conditions of the real estate market and the uniform compliance with the applicable valuation standards. Regarding personnel, they must have at least three linked professionals: professionals with a minimum of 3 years of experience in the appraisal activity who have entered into a contract with the appraisal company or credit entity to ensure the effectiveness of the aforementioned internal control mechanisms.</w:t>
      </w:r>
    </w:p>
    <w:p>
      <w:r>
        <w:t>(27) The appraisal services of credit entities may only value within the scope of the mortgage market and provided that the real estate to be valued serves as a mortgage guarantee for those operations carried out by companies that are part of their group.</w:t>
      </w:r>
    </w:p>
    <w:p>
      <w:r>
        <w:t>(28) The supervision of appraisal services and companies corresponds to the Bank of Spain, the Directorate General of Insurance, and the National Securities Market Commission.</w:t>
      </w:r>
    </w:p>
    <w:p>
      <w:r>
        <w:t>(29) Law 2/1981, of March 25, regulating the mortgage market establishes the specific requirements that appraisal companies providing services to credit entities of the same group must meet or whose total income comes from a credit entity and also establishes the obligation to notify the Bank of Spain of the acquisition of a significant stake in an appraisal company.</w:t>
      </w:r>
    </w:p>
    <w:p>
      <w:r>
        <w:t xml:space="preserve">Valuation of real estate  </w:t>
        <w:br/>
        <w:t>(30) Ministerial Order ECO/805/2003 (amended by Orders EHA/3011/2007, of October 4, and EHA/564/2008, of February 28), of March 27, on the valuation standards of real estate and certain rights for certain financial purposes. Relevant aspects for the purposes of the file are included in the following paragraphs.</w:t>
      </w:r>
    </w:p>
    <w:p>
      <w:r>
        <w:t>(31) This Order shall apply whenever the value of the appraisal is used for any of the following purposes: mortgage guarantee of credits or loans that form or will form part of the portfolio covering mortgage securities; coverage of the technical provisions of insurance entities required by the regulations on private insurance; determination of the assets of collective real estate investment institutions and determination of the real estate assets of pension funds (Article 2).</w:t>
      </w:r>
    </w:p>
    <w:p>
      <w:r>
        <w:t>(32) The appraisal shall be carried out in accordance with the following principles: anticipation, purpose, highest and best use, probability, proportionality, prudence, substitution, temporality, transparency, and residual value (Article 3).</w:t>
      </w:r>
    </w:p>
    <w:p>
      <w:r>
        <w:t xml:space="preserve">(33) The technical methods of valuation are:  </w:t>
        <w:br/>
        <w:t xml:space="preserve">• Cost method: for the valuation of buildings and building elements. The replacement value is obtained by adding the value of the land, the cost of construction or rehabilitation, and the replacement expenses (Articles 17 to 19).  </w:t>
        <w:br/>
        <w:t xml:space="preserve">• Comparison method: for the valuation of real estate provided that a series of requirements are met and for surface rights and administrative concessions under certain circumstances (Articles 20 to 23).  </w:t>
        <w:br/>
        <w:t xml:space="preserve">• Income capitalization method: for the valuation of real estate capable of producing income and certain real rights except for purchase options provided that some requirements are met (Articles 24 to 33). The updated value of the property subject to valuation will be the present value (PV) of the expected cash flows and the expected reversion value for the chosen discount rate and is calculated using the following formula:  </w:t>
        <w:br/>
        <w:t xml:space="preserve">PV  </w:t>
        <w:br/>
        <w:t xml:space="preserve">PV = present value  </w:t>
        <w:br/>
        <w:t xml:space="preserve">Ej = Amount of collections attributable to the property at time j; Sk = Amount of expected payments at time k  </w:t>
        <w:br/>
        <w:t xml:space="preserve">tj = Number of time periods that must elapse from the valuation moment until the corresponding Ej occurs  </w:t>
        <w:br/>
        <w:t xml:space="preserve">tk = Number of time periods from the valuation moment until the corresponding Sk occurs  </w:t>
        <w:br/>
        <w:t xml:space="preserve">i = chosen discount rate corresponding to the duration of each of the considered time periods  </w:t>
        <w:br/>
        <w:t xml:space="preserve">n = Number of time periods from appraisal until the end of the expected income estimation period  </w:t>
        <w:br/>
        <w:t xml:space="preserve">The reversion value is determined based on the type of property subject to valuation and will be the value at the end of the useful life of the land, the expected value of the property at the end of the contract, or the replacement value at the end of the operation (Article 31). For its part, to determine the discount rate, “a nominal interest rate appropriate to the risk of the investment project (…) that must be similar to that being used in the market regarding comparable operations will be adopted. This interest rate will be converted into a real rate by correcting the inflationary effect through the application of a price index that adequately reflects the expected inflation (…)”. The nominal interest rate “may not be lower than the average annual return of the average State Debt rate with a maturity of more than two years.” (…) “The appraisal entity will duly justify the chosen interest rate, highlighting the positive differential applied with respect to the average return mentioned in the previous paragraph, and in particular, the expected inflation and other correction means used to obtain a real rate” (Article 32).  </w:t>
        <w:br/>
        <w:t>• Residual method: a) dynamic (investments with expected values) for the valuation of urban or developable land, whether or not built, and buildings in project, construction, or rehabilitation; b) static (investments with current values) for plots and properties in rehabilitation where construction or rehabilitation can begin within no more than one year and built plots (Articles 34 to 42).</w:t>
      </w:r>
    </w:p>
    <w:p>
      <w:r>
        <w:t xml:space="preserve">Especially relevant for the purposes of this file is the formula for calculating the residual value both by the dynamic and static procedure.  </w:t>
        <w:br/>
        <w:t xml:space="preserve">- Dynamic: the residual value of the property subject to valuation is the difference between the present value of the collections obtained from the sale of the completed property and the present value of the payments made for the various costs and expenses, for the established discount rate, using the following formula:  </w:t>
        <w:br/>
        <w:t xml:space="preserve">F  </w:t>
        <w:br/>
        <w:t xml:space="preserve">F = Value of land or property to be rehabilitated  </w:t>
        <w:br/>
        <w:t xml:space="preserve">Ej = Amount of expected collections at time j; Sk = Amount of expected payments at time k  </w:t>
        <w:br/>
        <w:t xml:space="preserve">tj = Number of time periods expected from the valuation moment until each of the collections occurs  </w:t>
        <w:br/>
        <w:t xml:space="preserve">tk = Number of time periods expected from the valuation moment until each of the payments occurs  </w:t>
        <w:br/>
        <w:t xml:space="preserve">i = discount rate corresponding to the duration of each of the considered time periods  </w:t>
        <w:br/>
        <w:t xml:space="preserve">The discount rate used will be that which represents the average annual return of the project without considering external financing that an average developer would obtain in a promotion with the characteristics of the one analyzed. The discount rate “i” (Article 38) is calculated by adding to the risk-free rate (Article 38.2), the risk premium (Article 38.3). The risk-free rate is the discount rate (Article 32, discount rate in the income capitalization method), taking it as real or nominal depending on whether the cash flow estimates are constant or nominal. The risk premium “will be determined by the appraisal entity, based on the information on real estate promotions available, through the evaluation of the risk of the promotion taking into account the type of real estate asset to be constructed, its location, liquidity, execution period, as well as the volume of necessary investment.”  </w:t>
        <w:br/>
        <w:t xml:space="preserve">- Static: it will be calculated using the following formula:  </w:t>
        <w:br/>
        <w:t xml:space="preserve">F = Value of the land or property to be rehabilitated; VM = Value of the property in the hypothesis of a completed building  </w:t>
        <w:br/>
        <w:t>b = margin or net profit of the developer as a percentage; Ci = each of the necessary payments considered</w:t>
      </w:r>
    </w:p>
    <w:p>
      <w:r>
        <w:rPr>
          <w:b/>
        </w:rPr>
        <w:t>[Pages 10–12]</w:t>
      </w:r>
    </w:p>
    <w:p>
      <w:r>
        <w:t>las normas generales que regulan la materia, a un perito que actuará como tal en los casos en que sea necesario para la práctica de la inscripción o para la resolución de cualquier cuestión que requiera su intervención”.</w:t>
      </w:r>
    </w:p>
    <w:p>
      <w:r>
        <w:t>(43) Ley 22/2005, de 29 de diciembre, de medidas de reforma económica. En su artículo 3 se establece que “los peritos designados por el Registrador deberán ser profesionales con titulación adecuada y experiencia suficiente en la materia objeto de valoración”.</w:t>
      </w:r>
    </w:p>
    <w:p>
      <w:r>
        <w:t>(44) Ley 1/2000, de 7 de enero, de Enjuiciamiento Civil. En su artículo 342 se establece que “los peritos deberán presentar un informe escrito en el que se expongan las razones que fundamenten su valoración, así como los criterios y métodos utilizados para llegar a la misma”.</w:t>
      </w:r>
    </w:p>
    <w:p>
      <w:r>
        <w:t>(45) Ley 58/2003, de 17 de diciembre, General Tributaria. En su artículo 135.4 se indica que “los peritos deberán actuar con imparcialidad y objetividad, y estarán obligados a cumplir con las normas deontológicas que les sean aplicables”.</w:t>
      </w:r>
    </w:p>
    <w:p>
      <w:r>
        <w:t>(46) Real Decreto 1629/1991, de 8 de noviembre, por el que se aprueba el Reglamento del Impuesto sobre Sucesiones y Donaciones. En el artículo 98.7 se establece que “los peritos deberán presentar su informe en el plazo de un mes desde su designación, salvo que se justifique la necesidad de un plazo mayor”.</w:t>
      </w:r>
    </w:p>
    <w:p>
      <w:r>
        <w:t>(47) Real Decreto 828/1995, de 29 de mayo, por el que se aprueba el Reglamento del Impuesto sobre Transmisiones Patrimoniales y Actos Jurídicos Documentados. En el artículo 121.6 se indica que “los peritos deberán presentar su informe en el plazo de un mes desde su designación, salvo que se justifique la necesidad de un plazo mayor”.</w:t>
      </w:r>
    </w:p>
    <w:p>
      <w:r>
        <w:t>(48) Real Decreto 1784/1996, de 19 de julio, por el que se aprueba el Reglamento del Registro Mercantil. En el artículo 341 se establece que “los peritos deberán presentar su informe en el plazo de un mes desde su designación, salvo que se justifique la necesidad de un plazo mayor”.</w:t>
      </w:r>
    </w:p>
    <w:p>
      <w:r>
        <w:rPr>
          <w:b/>
        </w:rPr>
        <w:t>[Pages 13–15]</w:t>
      </w:r>
    </w:p>
    <w:p>
      <w:r>
        <w:t>of</w:t>
        <w:br/>
        <w:t>appraisal registered in the corresponding official register (…)”.</w:t>
      </w:r>
    </w:p>
    <w:p>
      <w:r>
        <w:t>(42) Royal Decree 1784/1996, of July 19, which approves the Regulation of the Commercial Register. Article 340 states that “(…) the Registrar shall designate, in accordance with the rules that are issued and, in the absence of these, at his prudent discretion, an independent expert among individuals or legal entities that belong to a profession directly related to the assets subject to valuation or that are specifically dedicated to valuations or expert appraisals.”</w:t>
      </w:r>
    </w:p>
    <w:p>
      <w:r>
        <w:t>The appraisal sector</w:t>
        <w:br/>
        <w:t>(43) The economic sector in which the behaviors investigated in this file are framed consists of the services for the valuation of assets, rights, and estates. It is a sector in which the behavior of the real estate market and mortgage financing is decisive. Therefore, after a significant growth in production in the first half of the previous decade, the activity of appraisal companies began to decelerate in 2006, with significant declines recorded since then. Table 3 presents the evolution of the number and amount of appraisals carried out by entities registered with the Bank of Spain during the period 2007-2010, according to information published by that institution.</w:t>
      </w:r>
    </w:p>
    <w:p>
      <w:r>
        <w:t>TABLE 3: NUMBER AND AMOUNT OF APPRAISALS</w:t>
        <w:br/>
        <w:t>Number of appraisals Amount of appraisals</w:t>
        <w:br/>
        <w:t>Thousands Structure (%) Amount (MM €) Structure (%)</w:t>
        <w:br/>
        <w:t>2007 2010 2007 2010 2007 2010 2007 2010</w:t>
        <w:br/>
        <w:t>Real estate 1,522.0 964.3 99.5 98.7 834.0 445.3 98.8 98.9</w:t>
        <w:br/>
        <w:t>Total land 73.5 64.0 4.8 6.5 179.3 109.4 21.2 24.3</w:t>
        <w:br/>
        <w:t>Complete buildings 92.4 44.8 6.0 4.6 277.9 128.2 32.9 28.5</w:t>
        <w:br/>
        <w:t>Building elements 1,347.8 848.6 88.1 86.8 346.8 183.9 41.1 40.8</w:t>
        <w:br/>
        <w:t>Housing 1,161.9 666.6 75.9 68.2 306.3 152.9 36.3 33.9</w:t>
        <w:br/>
        <w:t>Offices 10.3 8.6 0.7 0.9 5.7 5.0 0.7 1.1</w:t>
        <w:br/>
        <w:t>Commercial premises 69.1 51.9 4.5 5.3 25.5 17.6 3.0 3.9</w:t>
        <w:br/>
        <w:t>TOTAL 1,530.1 977.1 100.0 100.0 844.0 450.4 100.0 100.0</w:t>
        <w:br/>
        <w:t>Other valuations 325.1 148.7</w:t>
        <w:br/>
        <w:t>Updates 107.1 84.6 32.9 56.9 173.7 137.1</w:t>
        <w:br/>
        <w:t>Estates 2.5 5.9 6.2 13.9</w:t>
        <w:br/>
        <w:t>Source: Bank of Spain. Economic Bulletin July-August 2011 (folios 820-835).</w:t>
      </w:r>
    </w:p>
    <w:p>
      <w:r>
        <w:t>(44) Table 4 presents the distribution of appraisals according to the requester or applicant during the same period and from the same source.</w:t>
      </w:r>
    </w:p>
    <w:p>
      <w:r>
        <w:t>TABLE 4: APPRAISALS BY REQUESTER</w:t>
        <w:br/>
        <w:t>Number of appraisals Amount of appraisals</w:t>
        <w:br/>
        <w:t>Thousands Structure (%) Amount (MM €) Structure (%)</w:t>
        <w:br/>
        <w:t>2007 2010 2007 2010 2007 2010 2007 2010</w:t>
        <w:br/>
        <w:t>Credit institutions 1,353.8 806.8 88.5 82.6 621.3 287.1 73.6 63.7</w:t>
        <w:br/>
        <w:t>Banks 480.6 357.0 31.4 36.5 211.1 123.7 25.0 27.5</w:t>
        <w:br/>
        <w:t>Savings banks 729.9 378.0 47.7 38.7 367.5 144.0 43.5 32.0</w:t>
        <w:br/>
        <w:t>Credit cooperatives 95.3 61.2 6.2 6.3 32.7 17.4 3.9 3.9</w:t>
        <w:br/>
        <w:t>EFC 48.0 10.6 3.1 1.1 10.0 2.0 1.2 0.4</w:t>
        <w:br/>
        <w:t>Other requesters 176.3 170.1 11.5 17.4 222.8 163.4 26.4 36.3</w:t>
        <w:br/>
        <w:t>Insurance, IIC, and FF 7.3 30.6 0.5 3.1 13.2 14.7 1.6 3.3</w:t>
        <w:br/>
        <w:t>Public bodies 20.6 19.0 1.3 1.9 6.7 6.4 0.8 1.4</w:t>
        <w:br/>
        <w:t>Others 148.4 120.5 9.7 12.3 202.9 142.3 24.0 31.6</w:t>
        <w:br/>
        <w:t>TOTAL 1,530.1 976.9 100.0 100.0 844.1 450.5 100.0 100.0</w:t>
        <w:br/>
        <w:t>Source: Bank of Spain. Economic Bulletin July-August 2011 (folios 820-835).</w:t>
      </w:r>
    </w:p>
    <w:p>
      <w:r>
        <w:t>(45) According to information provided by the Bank of Spain, there is no disaggregated information on appraisals carried out at the request of Commercial Registers, Tax Agencies, and Courts (folio 894).</w:t>
      </w:r>
    </w:p>
    <w:p>
      <w:r>
        <w:t>(46) Table 5 presents the distribution of appraisals according to the purpose for which the valuations are intended.</w:t>
      </w:r>
    </w:p>
    <w:p>
      <w:r>
        <w:t>TABLE 5: APPRAISALS OF REAL ESTATE BY PURPOSE</w:t>
        <w:br/>
        <w:t>Number of appraisals Amount of appraisals</w:t>
        <w:br/>
        <w:t>Thousands Structure (%) Amount (MM €) Structure (%)</w:t>
        <w:br/>
        <w:t>2007 2010 2007 2010 2007 2010 2007 2010</w:t>
        <w:br/>
        <w:t>Mortgage guarantees 1,428.6 741.6 93.9 76.9 695.5 283.2 83.4 63.6</w:t>
        <w:br/>
        <w:t>By Law 2/81* 1,426.9 732.8 93.8 76.0 692.7 279.6 83.0 62.8</w:t>
        <w:br/>
        <w:t>Required by EC 2.0 8.5 0.1 0.9 1.9 6.9 0.2 1.5</w:t>
        <w:br/>
        <w:t>Insurance, IIC, and FF 6.3 23.7 0.4 2.5 9.4 11.7 1.1 2.6</w:t>
        <w:br/>
        <w:t>Other purposes 85.0 190.6 5.6 19.8 127.3 143.5 15.3 32.2</w:t>
        <w:br/>
        <w:t>TOTAL 1,521.9 964.4 100.0 100.0 834.1 445.3 100.0 100.0</w:t>
        <w:br/>
        <w:t>* Loans in which the assets are valued according to the provisions of RD 685/1982 and the Order of November 30, 1994, developing Law 2/81</w:t>
        <w:br/>
        <w:t>Source: Bank of Spain. Economic Bulletin July-August 2011 (folios 820-835).</w:t>
      </w:r>
    </w:p>
    <w:p>
      <w:r>
        <w:t>(47) Table 6 presented in the Annex of the PCH (CONFIDENTIAL) collects the appraisals carried out by valuation method, according to information provided by the Bank of Spain (folios 895-896).</w:t>
      </w:r>
    </w:p>
    <w:p>
      <w:r>
        <w:t>(48) From the reading of the previous tables, it can be inferred that:</w:t>
        <w:br/>
        <w:t>- There has been a significant decrease in the number of appraisals during the considered period.</w:t>
        <w:br/>
        <w:t>- Appraisals of real estate, and in particular of housing, represent a high percentage of the total appraisals carried out.</w:t>
        <w:br/>
        <w:t>- Credit institutions are the main demanders of appraisal services, which translates into a high degree of concentration of real estate appraisals associated with mortgage-backed financing operations. However, these have significantly lost weight in the overall valuations in favor of valuations carried out for other purposes, which have gained more than 14 percentage points both in terms of number and value during the considered period.</w:t>
        <w:br/>
        <w:t>- The most commonly used valuation method in the total appraisals is the comparison method (around 90% in terms of units and 70% in terms of value). This method is primarily used in the valuation of housing, offices, commercial, and industrial buildings. In the valuation of residential buildings, the previous method and the residual method (dynamic + static) are used equally, with the dynamic residual method representing around 25% in terms of units and between 40-50% in terms of value in 2010. Finally, the rent update method is primarily used in the valuation of parking lots, hotels, and residences, representing between 80-90% in terms of units and between 60-80% in terms of value in 2010.</w:t>
      </w:r>
    </w:p>
    <w:p>
      <w:r>
        <w:t>(49) Regarding the appraisal companies registered with the Bank of Spain, they numbered 55 in 2010 and 58 as of February 21, 2012. According to data from the Bank of Spain, in 2010, the high and traditional concentration of the sector was maintained, with the two largest appraisers absorbing one-third of the number of appraisals and the appraised amount. In turn, the activity of the five largest represented 53% of the number and amount of appraisals carried out (folios 826-827).</w:t>
      </w:r>
    </w:p>
    <w:p>
      <w:r>
        <w:t>(50) The number of appraisal companies participated by credit institutions (according to Article 3 ter.2 of Law 2/1981, regulating the mortgage market, appraisal companies are significantly participated by one or more credit institutions when such participation reaches, directly or indirectly, at least 15% of the capital or voting rights of the company, or, without reaching the indicated percentage, allows for notable influence in the company) decreased to 11 in 2010 following the change in the shareholding of Tinsa made in mid-year. This has led, given the high billing volume of this company, to a significant reduction in the share of revenues generated by companies participated by credit institutions, as reflected in Table 7. The Bank of Spain also indicates that 78% of the revenues of appraisal companies participated by credit institutions came from the main client, a percentage that rises to 82% if clients accounting for more than 15% of the billing are included (folio 827).</w:t>
      </w:r>
    </w:p>
    <w:p>
      <w:r>
        <w:rPr>
          <w:b/>
        </w:rPr>
        <w:t>[Pages 16–18]</w:t>
      </w:r>
    </w:p>
    <w:p>
      <w:r>
        <w:t>TABLE 7: DEPENDENCE OF THE ST ON THEIR CLIENTS</w:t>
        <w:br/>
        <w:t>Weight of 1st client and those</w:t>
        <w:br/>
        <w:t>Number ST Revenue (%)</w:t>
        <w:br/>
        <w:t>accounting for at least 15%</w:t>
        <w:br/>
        <w:t>2007 2010 2007 2010 2007 2010</w:t>
        <w:br/>
        <w:t>Total active ST 55 55 100.0 100.1 38.2 31.8</w:t>
        <w:br/>
        <w:t>Related to EC 13 11 51.8 19.1 46.4 82.3</w:t>
        <w:br/>
        <w:t>Main client &gt; 50% 18 18 3.9 5.2 86.2 76.7</w:t>
        <w:br/>
        <w:t>Main client 25%-50% 12 11 25.0 20.8 32.3 31.2</w:t>
        <w:br/>
        <w:t>Main client 15%-25% 7 6 7.8 5.6 19.3 20.6</w:t>
        <w:br/>
        <w:t>Others 5 9 11.5 49.4 10.9 9.1</w:t>
        <w:br/>
        <w:t>Source: Bank of Spain. Economic Bulletin July-August 2011 (folios 820-835).</w:t>
        <w:br/>
        <w:t>(51) The Bank of Spain provides aggregated information on the evolution of the appraisal activity and the degree of concentration in the sector but does not identify the companies participated by credit institutions nor establish a ranking classification (folios 820-835). According to information obtained from the companies' own websites, the number of appraisers linked to credit institutions would be 10 as reflected in Table 8. It is unknown which other company would be in the same situation.</w:t>
      </w:r>
    </w:p>
    <w:p>
      <w:r>
        <w:t>TABLE 8: APPRAISERS LINKED TO CREDIT INSTITUTIONS</w:t>
        <w:br/>
        <w:t>CREDIT ENTITY ATASA</w:t>
        <w:br/>
        <w:t>TASAMADRID Bankia Yes</w:t>
        <w:br/>
        <w:t>TASACIONES Y VALORACIONES DE GALICIA (TASAGALICIA) Novacaixa Galicia, Bankia Yes</w:t>
        <w:br/>
        <w:t>LKS TASACIONES Caja Laboral Yes</w:t>
        <w:br/>
        <w:t>VALORACIONES Y TASACIONES HIPOTECARIAS La Caixa Yes</w:t>
        <w:br/>
        <w:t>TASACIONES DE BIENES MEDITERRÁNEO (TABIMED) CAM Yes</w:t>
        <w:br/>
        <w:t>SOC. INTEGRAL VALORACIONES AUTOMATIZADAS (SIVASA) B Santander No</w:t>
        <w:br/>
        <w:t>TASACIONES HIPOTECARIAS BNP Yes</w:t>
        <w:br/>
        <w:t>COMPAÑÍA DE MEDIOS Y SERVICIOS TASACIÓN Cajasol Yes</w:t>
        <w:br/>
        <w:t>GLOBAL GESTIÓN DE TASACIONES Caja Badajoz Yes</w:t>
        <w:br/>
        <w:t>TASACIONES ANDALUZAS Unicaja Yes</w:t>
        <w:br/>
        <w:t>Source: own elaboration based on information from the companies' websites</w:t>
      </w:r>
    </w:p>
    <w:p>
      <w:r>
        <w:t>(52) For its part, according to information published by the magazine Metros2, the ranking of the 35 main appraisal companies would be as follows:</w:t>
      </w:r>
    </w:p>
    <w:p>
      <w:r>
        <w:t>TABLE 9: RANKING OF APPRAISAL COMPANIES</w:t>
        <w:br/>
        <w:t>Revenue (M €) Appraised Amount (M €) Appraisals (nº) Amount</w:t>
        <w:br/>
        <w:t>ATASA</w:t>
        <w:br/>
        <w:t>Average Appraisal Company (ST)</w:t>
        <w:br/>
        <w:t>2009 2010 % 2010 2009 2010 % 2010 2009 2010 % 20102010 (M €) (2012)</w:t>
        <w:br/>
        <w:t>Tasaciones Inmobiliarias (TINSA)* 100.00 92.60 26.47 226,000 181,820 27.18 284,000 300,600 26.27 0.6049 No</w:t>
        <w:br/>
        <w:t>Appraisal Company (ST) 46.60 40.10 11.46 57,400 46,600 6.97 149,000 135,000 11.80 0.3452 No</w:t>
        <w:br/>
        <w:t>Grupo Valtecnic 28.12 24.70 7.06 29,200 27,010 4.04 104,810 93,300 8.15 0.2895 Yes</w:t>
        <w:br/>
        <w:t>Valoraciones Mediterráneo (Valmesa) 20.55 17.29 4.94 45,082 35,204 5.26 65,635 59,257 5.18 0.5941 Yes</w:t>
        <w:br/>
        <w:t>Técnicos en Tasación (Tecnitasa) 17.23 16.35 4.67 30,177 36,223 5.42 44,992 40,637 3.55 0.8914 Yes</w:t>
        <w:br/>
        <w:t>Tasaciones Madrid (Tasamadrid) 20.94 15.20 4.34 91,900 69,378 10.37 118,654 79,055 6.91 0.8776 Yes</w:t>
        <w:br/>
        <w:t>Gestión de Valoraciones y Tasaciones (Gesvalt) 16.01 14.51 4.15 42,758 38,779 5.80 45,473 42,979 3.76 0.9023 Yes</w:t>
        <w:br/>
        <w:t>Eurovaloraciones (Euroval) 13.00 11.50 3.29 36,000 33,000 4.93 36,900 Yes</w:t>
        <w:br/>
        <w:t>Tasaciones Hipotecarias (TH) 12.80 11.10 3.17 32,000 31,126 4.65 53,195 52,947 4.63 0.5879 Yes</w:t>
        <w:br/>
        <w:t>Ibertasa 12.06 11.04 3.16 37,752 22,724 3.40 35,935 35,170 3.07 0.6461 Yes</w:t>
        <w:br/>
        <w:t>Sdad Integral de Valoraciones Automatizadas (SIVASA) 14.50 10.97 3.14 29,500 19,118 2.86 45,310 36,133 3.16 0.5291 No</w:t>
        <w:br/>
        <w:t>Tasaciones Bienes del Mediterráneo (Tabimed) 7.80 8.50 2.43 18,600 10,000 1.50 32,800 36,000 3.15 0.2778 Yes</w:t>
        <w:br/>
        <w:t>Compañía Hispana de Tasaciones y Valoraciones (Cohispania) 9.50 8.30 2.37 20,000 14,500 2.17 36,500 31,500 2.75 0.4603 No</w:t>
        <w:br/>
        <w:t>Valoraciones y Tasaciones Hipotecarias (VTH) 7.15 7.98 2.28 9,733 8,000 1.20 25,200 30,236 2.64 0.2646 Yes</w:t>
        <w:br/>
        <w:t>Arco Valoraciones (Arco) 8.08 7.37 2.11 7,781 7,032 1.05 20,838 19,905 1.74 0.3533 Yes</w:t>
        <w:br/>
        <w:t>Krata 8.10 7.13 2.04 19,000 15,900 2.38 21,000 Yes</w:t>
        <w:br/>
        <w:t>Alia Tasaciones (Alia) 8.28 7.12 2.03 16,853 15,953 2.39 41,297 36,953 3.23 0.4317 Yes</w:t>
        <w:br/>
        <w:t>Servicios Vascos de Tasaciones (Servatas) 6.37 5.81 1.66 9,566 8,809 1.32 23,772 22,284 1.95 0.3953 Yes</w:t>
        <w:br/>
        <w:t>Collectiu d’Arquitectes Taxadors (Catsa) 6.31 4.93 1.41 11,639 9,083 1.36 16,320 11,505 1.01 0.7895 Yes</w:t>
        <w:br/>
        <w:t>Internacional Transacciones y Servicios (Intraser) 5.00 3.30 0.94 1,511 916 0.14 17,681 12,033 1.05 0.0761 Yes</w:t>
        <w:br/>
        <w:t>Tasaciones y Consultoría (Tycsa) 3.48 3.03 0.87 3,491 3,032 0.45 10,147 8,597 0.75 0.3527 Yes</w:t>
        <w:br/>
        <w:t>Tasaciones Andaluzas (Tasa) 3.36 3.03 0.87 4,194 3,509 0.52 Yes</w:t>
        <w:br/>
        <w:t>Afes Técnicas Tasación (Afes) 2.10 2.74 0.78 1,943 3,974 0.59 8,219 6,025 0.53 0.6596 Yes</w:t>
        <w:br/>
        <w:t>LKS Tasaciones (LKS) 2.48 2.19 0.63 2,226 1,929 0.29 6,923 5,548 0.48 0.3477 Yes</w:t>
        <w:br/>
        <w:t>Tasaciones Hipotecarias Renta (Thirsa) 1.70 2.00 0.57 5,660 7,750 1.16 5,000 5,500 0.48 1.4091 Yes</w:t>
        <w:br/>
        <w:t>Risc Valor 2.03 1.84 0.53 2,150 1,580 0.24 3,050 2,400 0.21 0.6583 No</w:t>
        <w:br/>
        <w:t>Tasibérica 1.47 1.78 0.51 2,320 2,590 0.39 15,861 17,130 1.50 0.1512 Yes</w:t>
        <w:br/>
        <w:t>Tasasur Sociedad de Tasaciones (Tasasur) 1.40 1.70 0.49 1,530 1,770 0.26 2,600 3,650 0.32 0.4849 Yes</w:t>
        <w:br/>
        <w:t>Grupo Tasvalor 1.40 1.52 0.43 2,473 3,547 0.53 5,584 5,737 0.50 0.6183 No</w:t>
        <w:br/>
        <w:t>Global Gestión de Tasaciones 2.32 1.49 0.43 1,699 4,249 0.64 5,207 7,749 0.68 0.5483 Yes</w:t>
        <w:br/>
        <w:t>Compañía de Medios y Servicios de Tasación (CMS) 1.33 0.97 0.28 829 616 0.09 5,250 3,364 0.29 0.1831 Yes</w:t>
        <w:br/>
        <w:t>Arquitasa Soc.Tasac. Coleg Arquit España (Arquitasa) 0.81 0.58 0.17 1,639 544 0.08 859 645 0.06 0.8434 Yes</w:t>
        <w:br/>
        <w:t>Inmoseguros Tasación (Inmoseguros) 0.60 0.53 0.15 2,093 2,108 0.32 1,336 1,366 0.12 1.5432 Yes</w:t>
        <w:br/>
        <w:t>Ebrotasa 0.29 0.39 0.11 317 456 0.07 711 1,183 0.10 0.3855 Yes</w:t>
        <w:br/>
        <w:t>Thader Valoraciones 0.20 0.30 0.09 5 22 0.00 25 60 0.01 0.3667 No</w:t>
        <w:br/>
        <w:t>TOTAL 393.37 349.89 100.00 805,021 668,851 100.00 1,290,084 1,144,448 100.00 0.5844</w:t>
        <w:br/>
        <w:t>* In January 2012, TINSA acquired Tasamadrid, thus increasing its market share.</w:t>
        <w:br/>
        <w:t>Source: own elaboration based on Revista Metros2 - September 2011 (folios 836-837).</w:t>
        <w:br/>
        <w:t>Although the table is not complete as 20 companies are missing, it seems to capture the main companies in light of the degree of concentration indicated by the Bank of Spain.</w:t>
      </w:r>
    </w:p>
    <w:p>
      <w:r>
        <w:t>3.- ON THE PROVEN FACTS</w:t>
        <w:br/>
        <w:t>Based on the documentation collected in the framework of this file, the DI considers the following facts proven:</w:t>
        <w:br/>
        <w:t>3.1.-Minimum rates for appraisals at the request of Commercial Registries, Tax Agencies, and Courts</w:t>
        <w:br/>
        <w:t>(53) In accordance with the provisions of the aforementioned regulations, every year ATASA addresses its members and asks them if they want to appear on the lists sent to Tax Agencies, Courts, and Commercial Registries for the purpose of acting as experts in appraisals to be carried out before these institutions. Upon receiving the responses, ATASA sends them the list of members willing to act as experts (folios 181-193; 209-212; 214-224; 398-412; 414-422; 426; 447-448; 485; 586-587; 719; 748; 761).</w:t>
        <w:br/>
        <w:t>(54) Along with the lists of members, ATASA also sends, at least since 2005, and until 2009, a list of rates for appraisals at the request of Commercial Registries, Tax Agencies, and Courts that the ATASA members who have expressed their agreement commit to apply for the services rendered, indicating that such rates/honoraries should logically be specified according to the nature of each work to be carried out (folios 180; 398-399; 401; 413; 415; 417; 419-420; 423; 426; 718; 761).</w:t>
        <w:br/>
        <w:t>(55) On 01-15-09, the secretary of ATASA sent an email to several members indicating that “as agreed in the Board meeting of December 11, we have prepared a draft of reference rates for official bodies, with a significant increase…” (folio 702).</w:t>
        <w:br/>
        <w:t>(56) In the Technical and Statistical Commission of 01-25-10, it was indicated that what was traditionally attached as “rates…” has been titled “scale of indicative fees…” (2010) (folios 426; 730-731). It was also indicated that “the regulations on competition protection make it more difficult to use such scales, so work is being done on a project that only indicates the appropriate guidelines for determining fees, so that they do not depend on the value of the object of appraisal but on aspects such as the responsibility incurred in valuing it, the time and cost required, or its location, type, and area, in line with the recommendations of the CNMV (recommendations of the CNMV to appraisal and real estate companies listed or in the process of going public in the context of the appraisal of properties not subject to the specific regulation of RD 775/1997, of May 30, and the Ministerial Order ECO/805/2003, of March 27) (folios 725-729), so that each member can create their own fee tables adapting the values of the corresponding parameters.” In fact, it seems that ATASA would have developed “a novel proposal for a fee structure, in which the value of the appraisal is not included as one of the variables affecting it” (folios 732-733). In view of the proposed fees for 2010, this proposal was not included.</w:t>
        <w:br/>
        <w:t>(57) On 01-26-11, the President of ATASA, in response to an email from the Managing Director of the association sending a scale of indicative fees for 2011, proposed, for the valuation of companies, certain minimum rates that were higher than those established for 2010 (folios 757-758). On 01-27-11, the Managing Director of ATASA sent the President and two other appraisal companies a second draft of fees for that year (folio 759), which became final (folio 463). Therefore, for 2011, there are two lists of scales.</w:t>
      </w:r>
    </w:p>
    <w:p>
      <w:r>
        <w:rPr>
          <w:b/>
        </w:rPr>
        <w:t>[Pages 19–21]</w:t>
      </w:r>
    </w:p>
    <w:p>
      <w:r>
        <w:t>(folios 447; 760). The first, identical to that of 2010, and the second, which incorporates the proposal of the President of ATASA although with lower increases.</w:t>
      </w:r>
    </w:p>
    <w:p>
      <w:r>
        <w:t>(58) Table 10 includes the proposed fees and charges for the period 2005-2011.</w:t>
        <w:br/>
        <w:t>TABLE 10: VALUATIONS AT THE REQUEST OF COMMERCIAL REGISTERS, TAX AGENCIES, COURTS</w:t>
        <w:br/>
        <w:t>TARIFFS FEE SCHEDULE ORIENTATIVE FEES</w:t>
        <w:br/>
        <w:t>2005 to 2008 2009 and 2010* 2011</w:t>
        <w:br/>
        <w:t>Property value (thousands €)</w:t>
        <w:br/>
        <w:t>Up to Up to</w:t>
        <w:br/>
        <w:t>Rest Max Rest Max</w:t>
        <w:br/>
        <w:t>Minimum Amount (€) Minimum Amount (€) value Minimum Amount (€) value</w:t>
        <w:br/>
        <w:t>to (€) to (€)</w:t>
        <w:br/>
        <w:t>(thousands €) (thousands €)</w:t>
        <w:br/>
        <w:t>Real estate (except special properties)</w:t>
        <w:br/>
        <w:t>0 - 200 400 600 200 600 600 200 600</w:t>
        <w:br/>
        <w:t>200 - 800 1.25% 400 600 800 0.125% 1,350 600 800 0.125% 1,350</w:t>
        <w:br/>
        <w:t>800 - 2,000 1.15% 1,100 1,350 2,000 0.115% 2,730 1,350 2,000 0.115% 2,730</w:t>
        <w:br/>
        <w:t>2,000 - 6,000 0.85% 2,500 2,730 6,000 0.085% 6,130 2,730 6,000 0.085% 6,130</w:t>
        <w:br/>
        <w:t>&gt; 6,000 0.60% 5,500 6,130 0.060% 6,130 0.060%</w:t>
        <w:br/>
        <w:t>Companies, mergers, acquisitions, shares, machinery, furniture, and special properties Machinery, installations, and furniture</w:t>
        <w:br/>
        <w:t>Amount 125€/ hour 150€/ hour 150€/ hour</w:t>
        <w:br/>
        <w:t>0 - 500 500 750 750</w:t>
        <w:br/>
        <w:t>500 - 1,500 1,400 1,950 1,950</w:t>
        <w:br/>
        <w:t>1,500 - 2,500 2,200 2,950 2,950</w:t>
        <w:br/>
        <w:t>2,500 - 5,000 4,000 5,200 5,200</w:t>
        <w:br/>
        <w:t>5,000 - 10,000 6,600 9,450 9,450</w:t>
        <w:br/>
        <w:t>&gt; 10,000: for each 10,000 or fraction 2,000 2,000 2,000</w:t>
        <w:br/>
        <w:t>Special properties, companies,</w:t>
        <w:br/>
        <w:t>business combinations, and financial instruments</w:t>
        <w:br/>
        <w:t>Amount 175€/ hour</w:t>
        <w:br/>
        <w:t>0 - 500 1,500</w:t>
        <w:br/>
        <w:t>500 - 1,500 2,500</w:t>
        <w:br/>
        <w:t>1,500 - 2,500 3,750</w:t>
        <w:br/>
        <w:t>2,500 - 5,000 5,500</w:t>
        <w:br/>
        <w:t>5,000 - 10,000 10,000</w:t>
        <w:br/>
        <w:t>&gt; 10,000: for each 10,000 or fraction 2,500</w:t>
        <w:br/>
        <w:t>Travel cost 0.25€/ km 0.25€/ km 0.25€/ km</w:t>
        <w:br/>
        <w:t>* In 2010, an indicative fee schedule was communicated</w:t>
        <w:br/>
        <w:t>Source: own elaboration based on information from the file (folios 180; 413; 423; 426; 463; 718).</w:t>
      </w:r>
    </w:p>
    <w:p>
      <w:r>
        <w:t>(59) From the reading of the table, it can be inferred:</w:t>
        <w:br/>
        <w:t>- From 2005 to 2009, tariffs are communicated. In 2010 and 2011, an indicative fee schedule is communicated.</w:t>
        <w:br/>
        <w:t>- From 2005 to 2008, fixed tariffs are established for the valuation of real estate, in terms of per thousand with minimum values. Starting in 2009, maximum values are also established. In 2009, there is an increase in minimum values (between 9% and 50%) in the valuation of real estate and companies, as well as an increase in the fixed amount in the valuation of companies (20%).</w:t>
        <w:br/>
        <w:t>- From 2005 to 2010, fixed hourly amounts with minimum values are established for the valuation of companies, mergers, acquisitions, shares, machinery, furniture, and special properties.</w:t>
        <w:br/>
        <w:t>- In 2011, the section for the valuation of companies is split into two. On one hand, machinery, installations, and furniture that assumes the fees for 2010 of that section. On the other hand, special properties, companies, business combinations (mergers, acquisitions), and financial instruments that increase both the fixed amount (16.6%) and the minimum values (between 5.7% and 100%).</w:t>
      </w:r>
    </w:p>
    <w:p>
      <w:r>
        <w:t>(60) In the meeting of the Board of Directors on 02-16-11, the decline in the main activity of appraisal companies and the increasing obstacles to the work of these companies before official bodies were reported (folio 479). In this regard, the entry into force on September 1, 2010, of Royal Legislative Decree 1/2010, of July 2, which approves the consolidated text of the Capital Companies Act, was highlighted, which in the opinion of ATASA, may mean that registrars can use their discretion in the designation of independent experts (folios 299; 470). Already in the General Assembly on 12-17-10, the consequences that the entry into force on October 1, 2010, of Royal Decree 1000/2010, of August 5, on mandatory collegiate visa may have on regulated valuation activity were discussed (folios 456-457).</w:t>
      </w:r>
    </w:p>
    <w:p>
      <w:r>
        <w:t>(61) In light of the above, it was unanimously agreed in that meeting to launch a campaign to promote knowledge and prestige of appraisal companies as the best possible experts in valuation work before jurisdictional, registral, and tax bodies, which could include the promotion of legislative initiatives in this regard. The Board of Directors indicated that a plan should be developed that included, among others, consultation with the National Competition Commission (folio 488).</w:t>
      </w:r>
    </w:p>
    <w:p>
      <w:r>
        <w:t>3.2.-Suggestions for the use of updating rates</w:t>
        <w:br/>
        <w:t>(62) ATASA sends its members a monthly table titled "suggestions for the use of updating rates and profit margins in OM ECO/805/2003." Although ATASA indicates on the intranet of its website that the rate suggestions have been available to its members since October 2003 (folio 819), it is from the meeting of the ATASA Statistical Commission on 12-12-06 that the suitability of modifying the suggested rates and margins and "the possibility of including not only the minimum premiums and minimum legal margins but also recommendable premiums and margins" is raised. In that meeting, it was agreed to conduct a survey initially among the members of the Commission and subsequently, if deemed appropriate, among the members of the association to ask what rates, premiums, and margins they usually use in practice, so that the suggestions could be adapted to the reality of the markets (folios 554-562).</w:t>
      </w:r>
    </w:p>
    <w:p>
      <w:r>
        <w:t>(63) In an email from ATASA dated 01-26-07, the suggestions corresponding to November 2006 were sent, and they already included recommendable rates beyond the legal minimums (folios 563-570).</w:t>
      </w:r>
    </w:p>
    <w:p>
      <w:r>
        <w:t>(64) In the meeting of the Technical Commission on 04-23-09, it was indicated that the possible convenience of improving the monthly suggestions had been raised and that already in March 2007, a project for collecting information to be sent by the members related to valuations using the income updating method had been presented. Based on that information, statistical calculations could be made that would help improve the applicability of the suggestions issued by ATASA. At the time of the meeting, only one member had provided information (folio 424).</w:t>
      </w:r>
    </w:p>
    <w:p>
      <w:r>
        <w:t>(65) In the meeting of the Technical and Statistical Commission on 10-13-11, it was reported that, based on the information provided by four members, a study on updating rates would be conducted according to the provisions of Article 32 of Order ECO/805/2003 to attempt to improve the suggestions offered monthly. The fundamental objective would be to establish suggested ranges, instead of the current point estimates (folio 782).</w:t>
      </w:r>
    </w:p>
    <w:p>
      <w:r>
        <w:t>(66) In the monthly table sent, ATASA makes suggestions for different types of property (primary residence, secondary residence, offices, premises, industrial, parking lots, hotels, residences, rural, and others) and different valuation methods (income updating, dynamic residual, and static residual) distinguishing between valuations for generic or mortgage purposes and including the minimum margins and premiums established in the sixth additional provision of the 2003 Order. Likewise, ATASA incorporates official information on different variables for the purpose of preparing the suggested rates (CPI, debt yield, mibor, Euribor, banking rates, savings banks, or credit institutions) (folios 570; 572; 589; 701; 709; 716; 740; 747; 483; 818).</w:t>
      </w:r>
    </w:p>
    <w:p>
      <w:r>
        <w:t>(67) For the preparation of Table 11 presented below, the suggestions sent approximately twice a year in more or less equidistant periods have been selected. The period begins in November 2006, continues in July 2007, and subsequently reflects the data from January and June of 2008, 2009, 2010, and 2011. Likewise, the suggested rates for homes used as primary residences and premises have been selected, given that homes and commercial premises are, according to the statistics of the Bank of Spain collected in Table 3, those that represent the largest number of appraisals.</w:t>
      </w:r>
    </w:p>
    <w:p>
      <w:r>
        <w:rPr>
          <w:b/>
        </w:rPr>
        <w:t>[Pages 22–24]</w:t>
      </w:r>
    </w:p>
    <w:p>
      <w:r>
        <w:t>TABLE 11: SUGGESTIONS FOR THE USE OF UPDATE RATES IN OM ECO/805/2003</w:t>
        <w:br/>
        <w:t>Update of rents Resid</w:t>
        <w:br/>
        <w:t>Public data Dynamic residual (art. 38) static</w:t>
        <w:br/>
        <w:t>(art. 32)</w:t>
        <w:br/>
        <w:t>(art. 41)</w:t>
        <w:br/>
        <w:t>Rent Rent Rent Rent</w:t>
        <w:br/>
        <w:t>Difference Premium Rent</w:t>
        <w:br/>
        <w:t>Year Property debt debt Nominal T. Rent min min Margin</w:t>
        <w:br/>
        <w:t>cial Type T. real min min</w:t>
        <w:br/>
        <w:t>Type guarantee min s/FA s/FA min</w:t>
        <w:br/>
        <w:t>2-6 years 5 years (est. nominal guarantee s/FA s/FA</w:t>
        <w:br/>
        <w:t>real mortgage s/FA guarantee mortgage s/FA</w:t>
        <w:br/>
        <w:t>(BOE) (BE) ATASA) d=a+c mortgage (DA) nominal</w:t>
        <w:br/>
        <w:t>e=b+c real nominal mortgage (DA)</w:t>
        <w:br/>
        <w:t>c f g=a+f</w:t>
        <w:br/>
        <w:t>a b h=b+f real</w:t>
        <w:br/>
        <w:t>November 3.67 3.70</w:t>
        <w:br/>
        <w:t>2006 1st residence 2.90 6.57 3.87 6.60 3.90 8 11.67 9.04 11.70 9.07 18</w:t>
        <w:br/>
        <w:t>Commercial premises 5.10 8.77 6.01 8.80 6.04 12 15.67 13.04 15.70 13.07 24</w:t>
        <w:br/>
        <w:t>July 4.24 4.46</w:t>
        <w:br/>
        <w:t>2007 1st residence 1.90 6.14 3.85 6.36 4.07 8 12.24 9.99 12.46 10.21 18</w:t>
        <w:br/>
        <w:t>Commercial premises 4.10 8.34 6.00 8.56 6.22 12 16.24 13.99 16.46 14.21 24</w:t>
        <w:br/>
        <w:t>January 4.06 3.99</w:t>
        <w:br/>
        <w:t>1st residence 4.50 8.56 4.08 8.49 4.01 8 12.06 7.77 11.99 7.70 18</w:t>
        <w:br/>
        <w:t>Commercial premises 6.75 10.81 6.24 10.74 6.17 12 16.06 11.77 15.99 11.70 24</w:t>
        <w:br/>
        <w:t>2008</w:t>
        <w:br/>
        <w:t>June 3.98 4.28</w:t>
        <w:br/>
        <w:t>1st residence 4.90 8.88 3.69 9.18 3.98 8 11.98 7.02 12.28 7.32 18</w:t>
        <w:br/>
        <w:t>Commercial premises 7.15 11.13 5.83 11.43 6.12 12 15.98 11.02 16.28 11.32 24</w:t>
        <w:br/>
        <w:t>January 3.68 3.49</w:t>
        <w:br/>
        <w:t>1st residence 1.40 5.08 4.25 4.89 4.06 8 11.68 10.86 11.49 10.67 18</w:t>
        <w:br/>
        <w:t>Commercial premises 3.60 7.28 6.43 7.09 6.24 12 15.68 14.86 15.49 14.67 24</w:t>
        <w:br/>
        <w:t>2009</w:t>
        <w:br/>
        <w:t>June 2.75 3.04</w:t>
        <w:br/>
        <w:t>1st residence 0.25 3.00 4.04 3.29 4.33 8 10.75 11.79 11.04 12.08 18</w:t>
        <w:br/>
        <w:t>Commercial premises 2.45 5.20 6.26 5.49 6.56 12 14.75 15.79 15.04 16.08 24</w:t>
        <w:br/>
        <w:t>January 2.35 2.78</w:t>
        <w:br/>
        <w:t>1st residence 3.50 5.85 3.98 6.28 4.40 8 10.35 8.54 10.78 8.96 18</w:t>
        <w:br/>
        <w:t>Commercial premises 5.70 8.05 6.14 8.48 6.56 12 14.35 12.54 14.78 12.96 24</w:t>
        <w:br/>
        <w:t>2010</w:t>
        <w:br/>
        <w:t>June 2.65 3.22</w:t>
        <w:br/>
        <w:t>1st residence 2.60 5.25 4.00 5.82 4.57 8 10.65 9.43 11.22 10.00 18</w:t>
        <w:br/>
        <w:t>Commercial premises 4.80 7.45 6.18 8.02 6.74 12 14.65 13.43 15.22 14.00 24</w:t>
        <w:br/>
        <w:t>January 3.30 4.39</w:t>
        <w:br/>
        <w:t>1st residence 2.20 5.50 4.25 6.59 5.33 8 11.30 10.08 12.39 11.15 18</w:t>
        <w:br/>
        <w:t>Commercial premises 4.40 7.70 6.43 8.79 7.50 12 15.30 14.08 16.39 15.15 24</w:t>
        <w:br/>
        <w:t>2011</w:t>
        <w:br/>
        <w:t>June 4.06 4.60</w:t>
        <w:br/>
        <w:t>1st residence 1.90 5.96 4.18 6.50 4.72 8 12.06 10.32 12.60 10.85 18</w:t>
        <w:br/>
        <w:t>Commercial premises 4.10 8.16 6.35 8.70 6.88 12 16.06 14.32 16.60 14.85 24</w:t>
        <w:br/>
        <w:t>Source: own elaboration based on information file (folios 570; 572; 589; 701; 709; 716; 740; 747; 483; 818)</w:t>
        <w:br/>
        <w:t>(68) To obtain the nominal interest rate used in the rent update method (art. 32), ATASA estimates a differential to which it adds the yield of the debt maturing between 2-6 years (generic purpose) or 5 years (mortgage purpose) (folio 853). The interest rate seems to equate to the update rate (article 32).</w:t>
        <w:br/>
        <w:t>(69) To obtain the minimum yield without external financing used in the dynamic residual method (art. 38), ATASA adds to the yield of the debt maturing between 2-6 years (generic purpose) or 5 years (mortgage purpose), the minimum risk premium (art. 38.3), which has not undergone any modification throughout the considered period, as contemplated in the sixth additional provision of OM ECO/805/2003 [this method of estimating the risk-free rate comparable to the yield of state debt with a term of more than two years was used in the Order of November 30, 1994, repealed by the Order of 2003 (folio 853)]. The minimum yield obtained seems to equate with the update rate referred to in art. 38. In fact, the estimation method used coincides with that used for calculating the update rate in the Order of the Ministry of Economy and Finance of November 30, 1994 (update rate = risk-free rate + risk premium), repealed by that of 2003, which indicated that it was the sum of the risk-free rate and the risk premium, the risk-free rate being a percentage rate representative of the yield of state debt with a term of not less than two years. In the calculation method proposed in the Order of 2003, the risk-free rate (art. 38.2) would, however, be the update rate established in article 32 which, as indicated in paragraph 34, adds a positive differential to the yield of the debt.</w:t>
        <w:br/>
        <w:t>(70) The profit margins of the developer incorporated in the static residual method (art. 41) are always the minimum margins s/FA established in the sixth additional provision of OM ECO/805/2003, which have not undergone any modification throughout the entire considered period.</w:t>
        <w:br/>
        <w:t>(71) ATASA indicates that the information sent monthly to its members is based on studies conducted monthly for which, in addition, general and public data such as the CPI, the yield of public debt, and main reference rates are taken into account. The data prepared are aggregated data that are provided not only to its members but also, on occasion, to the Administration. By way of example, ATASA refers to one of the emails collected in the inspection and incorporated into the file in which information about minimum update rates used in the dynamic residual method that ATASA has been recommending in the last 12 months is sent to the Ministry of Economy and Finance (folios 583-585). ATASA indicates that this data was published on its website until the year 2007. Given the effort and degree of sophistication required to obtain solid and quality data, ATASA made the decision not to share the information with potential competitors of its members who could take advantage of its internal work and who do not contribute to covering the expenses incurred by the association (folio 852).</w:t>
        <w:br/>
        <w:t>(72) It should be noted that the suggested monthly data is produced, according to information provided by ATASA, with a two-month lag due to the fact that the public data used is made public some time after the period to which it refers (folio 853).</w:t>
        <w:br/>
        <w:t>(73) ATASA considers that the information it provides aims to ensure uniformity in the application of the regulations on valuation and guarantee the robustness of valuations and adds that it is of a mere suggestive nature, with companies being absolutely free to carry out their own calculations. ATASA believes that this responds to the purposes of the association, among which is to ensure quality control of the valuation work of its members (folio 852).</w:t>
        <w:br/>
        <w:t>(74) According to information provided by the Bank of Spain, the establishment of the minimum risk premiums and profit margins contemplated in the sixth additional provision of the Order of 2003 and incorporated in the suggestion tables sent by ATASA aim to "enhance the technical and formal quality of valuations with the ultimate goal of better protecting the interests of third parties in their capacity as investors or insured." In relation, in particular, to the risk premium, the Bank of Spain indicates that the update of cash flows in the dynamic residual method must be carried out at a rate that includes a minimum risk premium so that the resulting land value is not manipulated upwards by the application of an excessively low update rate, and not in accordance with the minimum risk premium of each market (folios 892-893).</w:t>
        <w:br/>
        <w:t>(75) According to information provided by the Bank of Spain, it has not distributed to the appraisal companies the aggregated information resulting from the third additional provision of the Order of 2003 regarding risk premiums and profit margins, as this has never been requested by any company. The Bank of Spain also indicates that it has not delegated to ATASA any function of distributing the previous information (folio 893).</w:t>
        <w:br/>
        <w:t>(76) The Bank of Spain indicates that it has not requested ATASA to use certain rates or parameters and that, in any case, any type of requirement is made to each approved appraisal company, regardless of whether ATASA represents its members before the Public Administration and society in general (folio 893).</w:t>
        <w:br/>
        <w:t>3.3.-Information exchange: BESDATASA database</w:t>
        <w:br/>
        <w:t>(77) BESDATASA is a statistical database of housing appraisals, the implementation of which was agreed upon at the General Assembly in December 1999. The database is fed with data provided by members in a standard computer format. In March 2002, it was agreed to launch an application that would allow consulting statistics based on the data provided. At the General Assembly meeting on 3-06-03, the Protocol on the BESDATASA computer application was approved (folios 128-135). The objective of the protocol is to define the rules for both the provision of data by members and for its grouped exploitation. The protocol provides for the use of the program by entities or professionals not belonging to ATASA as well.</w:t>
      </w:r>
    </w:p>
    <w:p>
      <w:r>
        <w:rPr>
          <w:b/>
        </w:rPr>
        <w:t>[Pages 25–27]</w:t>
      </w:r>
    </w:p>
    <w:p>
      <w:r>
        <w:t>as the monetary consideration in case such use is authorized. Such authorization corresponds to the General Assembly upon the proposal of the Board of Directors.</w:t>
      </w:r>
    </w:p>
    <w:p>
      <w:r>
        <w:t>(78) In July 2004, it was agreed to expand the data of the appraised asset and incorporate premises, offices, and warehouses (Besdatasa 2). In July 2010, new data were incorporated in adaptation to the new requirements of the agreement with the Ministry of Housing (Besdatasa 3) (folios 371-372). In March 2011, it was agreed to propose the modification of the BESDATASA protocol to reflect an appropriate proportion between contributions and use, as well as to prevent undesirable uses (folio 377).</w:t>
      </w:r>
    </w:p>
    <w:p>
      <w:r>
        <w:t>(79) At the General Assembly meeting on 12-17-10, it was reported that Besdatasa 3 had been launched on a trial basis, for the time being only for data upload and with the inclusion of new variables (VML-maximum legal value in properties subject to public protection, applicant, purpose, quality, age of the building, and age of the most recent comprehensive rehabilitation) (folio 457), requested by the Ministry of Development and approved by the General Assembly (folio 474).</w:t>
      </w:r>
    </w:p>
    <w:p>
      <w:r>
        <w:t>(80) The data collected quarterly in the database are sent with that periodicity to the Ministry of Development according to the service contract signed with this institution. On 10-01-10, an agreement was signed with the then Ministry of Housing for the payment of the information provided corresponding to 2009 and 2010 (folio 453). In the management report for presentation to the General Assembly on 07-13-11, it is indicated that the required documentation in the specific administrative conditions for signing a service contract by negotiated procedure without publicity titled “Data Collection on Average Prices of Appraised Housing” had been submitted, in which, for each appraised housing, a series of data is required, including those mentioned in the previous paragraph (folio 533). With the information provided by ATASA, the Ministry of Development publishes statistics on housing prices in Spain at the provincial level (folios 864-871) on its website.</w:t>
      </w:r>
    </w:p>
    <w:p>
      <w:r>
        <w:t>(81) The basic characteristics of BESDATASA are:</w:t>
        <w:br/>
        <w:t>- Each member will authorize a user who will be granted a password. Queries can only be made by the authorized user.</w:t>
        <w:br/>
        <w:t>- There is a system administrator user, ATASA.</w:t>
        <w:br/>
        <w:t>- The provision of data is mandatory.</w:t>
        <w:br/>
        <w:t>- No user may access any raw data (unprocessed) from the database. They will only have access to the processed statistics, both of their own company considered individually and the aggregates of the entire group of members (folios 94-95; 111; 131-132).</w:t>
      </w:r>
    </w:p>
    <w:p>
      <w:r>
        <w:t>- During the 30 days following the end of each calendar quarter, members upload data related to the appraisals carried out. The variables introduced are: province, municipality, postal code, appraisal date, valuation method used, appraisal value, market value (by comparison), mortgage value, market value (by update), gross monthly income, net monthly income, update rate, currency, built area, year of construction or last renovation, type of property (housing, premises, office, etc.), number of rooms, plot area, facade length, depth (folios 97; 357).</w:t>
        <w:br/>
        <w:t>- The variables that can be queried are value per m2 (folio 111), area, and age (folio 362), and the statistical data that the program can calculate are measures of central tendency (mean, median, mode, and confidence interval), measures of dispersion (standard deviation and variability indices), and measures of position (first and third quartiles) (folio 365).</w:t>
        <w:br/>
        <w:t>- Quarterly, ATASA sends its members a quarterly report with aggregated statistical data and individual data for each member (folio 435). A sample of the information sent is recorded in folios 108-127.</w:t>
      </w:r>
    </w:p>
    <w:p>
      <w:r>
        <w:t>(82) The process and document scheme of BESDATASA is reflected in folios 351-356.</w:t>
      </w:r>
    </w:p>
    <w:p>
      <w:r>
        <w:t>3.4.-Standardization: ATASA Standard for Measuring Property Areas</w:t>
      </w:r>
    </w:p>
    <w:p>
      <w:r>
        <w:t>(83) According to the minutes of the Technical and Statistical Commission of 10-13-11, on 09-15-11, the ATASA Standard for Measuring Property Areas (Standard) was presented to the public with great success in attendance and media coverage (folio 780). The publication in the press of this presentation as well as advertising about the sale of the Standard is recorded (folios 872-875). According to these press reports, the Standard began to be developed in early 2005; in 2007, a first version was approved for internal use by members, and in 2008, a second version was modified until reaching the latest version published in 2011.</w:t>
      </w:r>
    </w:p>
    <w:p>
      <w:r>
        <w:t>(84) The purpose of the Standard is to respond to the need for standardization in measuring property areas and to increase the quality of valuation reports. The report establishes definitions of concepts and classifications, instruments and criteria related to measuring the dimensions of real estate, as well as the enunciation of an operational method for carrying out the measurements (real estate, dimension, area, volume, field measurement, measurement on plan, measuring instruments, etc.). The Standard indicates that as long as it is issued by ATASA, it does not have the force of law, although its use is recommended to all professionals related both directly and indirectly to real estate valuation (folios 495-531).</w:t>
      </w:r>
    </w:p>
    <w:p>
      <w:r>
        <w:t>FUNDAMENTALS OF LAW</w:t>
      </w:r>
    </w:p>
    <w:p>
      <w:r>
        <w:t>FIRST.-Object of the present procedure.</w:t>
        <w:br/>
        <w:t>In this Resolution, the Council of the CNC must pronounce on the proposal that the Directorate of Investigation has raised in application of Article 50.4 of the current Law 15/2007 of July 3, on the Defense of Competition, taking into consideration the allegations and the documentation that accompanies them.</w:t>
      </w:r>
    </w:p>
    <w:p>
      <w:r>
        <w:t>In this sanctioning file, the DI has investigated and assessed four practices carried out by the Professional Association of Valuation Companies (ATASA): i) the preparation of minimum tariffs and a scale of minimum indicative fees directed to Commercial Registries, Tax Agencies, and Courts; ii) the preparation and sending to its members of suggestions for the use of update rates and profit margins in relation to the application of the valuation methods established in Ministerial Order ECO/805/2003; iii) the creation of a database of appraisals, called BESDATASA, and iv) the preparation of an ATASA Standard for Measuring Property Areas.</w:t>
      </w:r>
    </w:p>
    <w:p>
      <w:r>
        <w:t>Regarding the first of the practices, the DI, in its Report and Proposal for Resolution (IPR) submitted to this Council, considers it proven that ATASA prepared and disseminated a list of minimum tariffs during the period 2005-2009 and a scale of minimum indicative fees during the period 2010-2011, recommended for carrying out the valuations requested by Commercial Registries, Tax Agencies, and Courts, which its members commit to apply. The DI assesses that this practice constitutes an infringement of Article 1.1 of the LDC, as it is an anticompetitive conduct consisting of a collective decision to set prices by a professional association, ATASA. The DI considers that the affected market is that of the provision of appraisal services in Spain and that such conduct aims to guide the prices of the provision of appraisal services, potentially producing a distortion of competition in that market. The DI argues that the establishment of minimum tariffs and minimum indicative scales has the consequence, both by object and possible effect, of reducing the uncertainty of the companies associated with ATASA regarding the prices they apply as competitors in the same market. Thus, ATASA is limiting the development of effective competition in the market for the provision of appraisal services. To support this argument, the DI takes as precedents the Resolutions of the TDC and this Council of July 11, 2002, file Manufacturers of Lasts, of May 27, 2009, file</w:t>
      </w:r>
    </w:p>
    <w:p>
      <w:r>
        <w:rPr>
          <w:b/>
        </w:rPr>
        <w:t>[Pages 28–30]</w:t>
      </w:r>
    </w:p>
    <w:p>
      <w:r>
        <w:t>intereses de los consumidores es un objetivo esencial de la actividad de los peritos y que, por tanto, la elaboración de baremos orientativos puede ser considerada como una práctica legítima en el marco de la legislación vigente.</w:t>
      </w:r>
    </w:p>
    <w:p>
      <w:r>
        <w:t>En su cuarta alegación, ATASA argumenta que la elaboración del baremo no implica una fijación de precios, sino que se trata de una herramienta que permite a los usuarios tener una referencia sobre los costos de los servicios de tasación. Asegura que el baremo no es vinculante y que cada empresa tasadora tiene la libertad de establecer sus propios precios, lo que fomenta la competencia en el sector.</w:t>
      </w:r>
    </w:p>
    <w:p>
      <w:r>
        <w:t>Por último, en su quinta alegación, ATASA solicita que se tenga en cuenta su colaboración con las autoridades y su disposición para adaptarse a las normativas vigentes, así como su compromiso con la transparencia y la ética en el ejercicio de su actividad profesional.</w:t>
      </w:r>
    </w:p>
    <w:p>
      <w:r>
        <w:t>TERCERO.- Conclusiones</w:t>
        <w:br/>
        <w:t>A la vista de lo expuesto, la Dirección de Investigación concluye que no se han encontrado pruebas suficientes que demuestren la existencia de una infracción de la LDC por parte de ATASA en relación con la elaboración del baremo y la remisión de sugerencias de tipos a sus asociados. Por lo tanto, se propone el archivo de las actuaciones iniciadas contra ATASA.</w:t>
      </w:r>
    </w:p>
    <w:p>
      <w:r>
        <w:t>CUARTO.- Resolución</w:t>
        <w:br/>
        <w:t>Por todo lo anterior, el Consejo acuerda archivar las actuaciones iniciadas contra ATASA por la remisión mensual a sus asociados de sugerencias de tipos y por la elaboración de la base de datos BESDATASA y del Estándar ATASA de medición de superficies de inmuebles, al no haberse acreditado la existencia de infracción alguna de la LDC.</w:t>
      </w:r>
    </w:p>
    <w:p>
      <w:r>
        <w:rPr>
          <w:b/>
        </w:rPr>
        <w:t>[Pages 31–33]</w:t>
      </w:r>
    </w:p>
    <w:p>
      <w:r>
        <w:t>regarding the rights of justice users includes the need to know, through a fee schedule sent by the corresponding entity, the cost of the expert evidence; and to Order ECF/218/2009, of April 16 from the Counselor of Economy of the Generalitat of Catalonia, which approved fees for third-party experts in contradictory expert appraisals to address their diversity. This allegation concludes by stating that the fee schedule constitutes a protection for the user, acting as an indication for the judge or other prescriber, but also for the user who intervenes before those bodies, regarding the indicative cost that a particular service could have, with the fee schedule being something akin to a recommendation of maximum price. In this allegation, it also refers to the fact that the fee schedule has been requested from judicial bodies and Administrative Organs.</w:t>
      </w:r>
    </w:p>
    <w:p>
      <w:r>
        <w:t>In its fourth allegation, ATASA argues that the preparation of the fee schedule is also supported by the regulations of Professional Associations, both in its wording prior to the 2009 reform and in the Fourth Additional Provision introduced by the elimination of section ñ) of Article 5 of the Law on Professional Associations.</w:t>
      </w:r>
    </w:p>
    <w:p>
      <w:r>
        <w:t>In its fifth allegation, ATASA defends that the practice attributed to it has not had anticompetitive effects. It considers that the Proposal for Resolution acknowledges that the activity of the member companies of ATASA in the market for appraisals at the request of Commercial Registries, Tax Agencies, and Courts is minimal and that it should be taken into account that in the letters sent by ATASA at the request of these bodies, it is clearly indicated that the fee schedule is attached solely for guidance and that, consequently, the fees of the associates “should logically be tailored according to the nature of each work to be performed.” They point out that the fee schedules prepared by ATASA from 2005 to 2011 suggest prices for the performance of appraisal activities that are substantially lower than those prevailing in the market from 2005 to 2011.</w:t>
      </w:r>
    </w:p>
    <w:p>
      <w:r>
        <w:t>It concludes in its allegations defending that the preparation of the fee schedule by ATASA is not a practice contrary to the LDC. Regarding the conduct consisting of sending its associates suggestions for the use of types and rates of updates, which was classified as contrary to Article 1 of the LDC in the PCH, ATASA agrees with the assessment of the DI in the Proposal for Resolution reiterating that its work in this area aims to enhance the technical and formal quality of the valuations in order to better protect the interests of third parties in their capacity as investors or insured parties.</w:t>
      </w:r>
    </w:p>
    <w:p>
      <w:r>
        <w:t>Finally, in its allegations to the proposal for resolution and regarding the conduct assessed as infringing by the DI, ATASA requests the practice of certain evidence, which was rejected by the DI, aimed at determining the lack of representativeness of ATASA's associates in the market for appraisals carried out at the request of Commercial Registries, Tax Agencies, and Courts, as well as the lack of impact of ATASA's fee schedules on the competitive conditions in that market.</w:t>
      </w:r>
    </w:p>
    <w:p>
      <w:r>
        <w:t>In this regard, it requests that the documentation attached to the allegations be considered as evidence and the practice of the following tests:</w:t>
        <w:br/>
        <w:t>a).- Grant ATASA access to a non-confidential version (for example, removing data related to the identity of the company) of the responses provided by its members to the DI's request for information dated May 8, 2012, and in particular the business volume in Spain from the valuation service at the request of Commercial Registries, Tax Agencies, and Courts between the years 2005 to 2011, both inclusive, broken down by year, before the application of VAT and other related taxes.</w:t>
        <w:br/>
        <w:t>b).- Request ATASA members to inform about the number of appraisals carried out at the request of Commercial Registries, Tax Agencies, and Courts between the years 2005 to 2011, and grant access to a non-confidential version of these responses (for example, removing data related to the identity of the company from the responses).</w:t>
        <w:br/>
        <w:t>c).- Request the Central Commercial Registry, the State Agency for Tax Administration, and the General Council of the Judiciary to inform about the number of appraisals and the total amount of fees corresponding to appraisals carried out at the request of the Commercial Registries, Tax Agencies, and Courts in Spain between the years 2005 to 2011.</w:t>
      </w:r>
    </w:p>
    <w:p>
      <w:r>
        <w:t>In relation to this evidence, in the event that the CNC considers it difficult to practice given the large number of bodies from which information would need to be obtained, it requests that the evidence be practiced regarding a smaller number of bodies within each of these categories (Commercial Registries, Tax Agencies, and Courts), chosen in such a way that the result is statistically significant, and for this purpose, once this sample is selected:</w:t>
        <w:br/>
        <w:t>• Request the selected bodies in the sample to provide information about the number and billing of the appraisals requested in the period 2005-2011, differentiating those results according to whether the designated experts were or were not members of ATASA, or</w:t>
        <w:br/>
        <w:t>• Request ATASA members to inform about the number and billing of the appraisals carried out specifically at the request of those bodies chosen by the CNC in the period 2005-2011.</w:t>
      </w:r>
    </w:p>
    <w:p>
      <w:r>
        <w:t>Finally, to prove that its members did not apply, nor felt bound, and that ATASA never requested them to apply the fees contained in its fee schedules, it requests that the responses to the CNC from its associates to the request made in this regard be considered as evidence and that the non-confidential version of the response sent by ATASA members to the aforementioned request be disclosed.</w:t>
      </w:r>
    </w:p>
    <w:p>
      <w:r>
        <w:t>FOURTH.- On the qualification of the conduct consisting of the preparation and sending of minimum tariffs and minimum indicative fee schedules</w:t>
      </w:r>
    </w:p>
    <w:p>
      <w:r>
        <w:t>Article 1 of the LDC provides in its section 1 the following:</w:t>
        <w:br/>
        <w:t>"Any agreement, decision, or collective recommendation, or concerted or consciously parallel practice, that has the object, produces, or may produce the effect of preventing, restricting, or distorting competition in all or part of the national market is prohibited, and in particular, those consisting of:</w:t>
        <w:br/>
        <w:t>a) The direct or indirect fixing of prices or other commercial or service conditions."</w:t>
      </w:r>
    </w:p>
    <w:p>
      <w:r>
        <w:t>The Council considers that the facts related in this Resolution are proven, which are not questioned by ATASA. In relation to these facts, the Council assesses, in accordance with the DI, that the practice consisting of the preparation and sending of minimum tariffs and minimum indicative fee schedules constitutes an infringement of Article 1.1.a) of the LDC, as it is a collective recommendation that consists of the direct or indirect fixing of prices.</w:t>
      </w:r>
    </w:p>
    <w:p>
      <w:r>
        <w:t>With the preparation and sending of tariffs and indicative fee schedules, ATASA promotes uniform behavior on the part of its associates, regardless of the degree of compliance that ultimately occurs. ATASA's conduct, by reducing uncertainty about prices to be applied, limits the development of effective competition in the market for appraisal services.</w:t>
      </w:r>
    </w:p>
    <w:p>
      <w:r>
        <w:t>Furthermore, contrary to ATASA's allegation that considers its conduct irrelevant as it occurs in a market segment limited to valuations carried out at the request of Commercial Registries, Tax Agencies, and Courts, this Council considers that by providing its associates with a reference for minimum prices, this reference has the capacity to generate uniform behavior throughout its activity and not only in the aforementioned segment.</w:t>
      </w:r>
    </w:p>
    <w:p>
      <w:r>
        <w:t>At this point, regarding the allegation about the lack of representativeness of ATASA in the cited segment, the Council considers that the association confuses what the appraisals carried out at the request of the cited institutions represent concerning the total number of appraisals carried out by the associated companies, with the representativeness of ATASA itself in the collective of appraisal companies, which in the years in which it carried out the conduct here qualified was 95%.</w:t>
      </w:r>
    </w:p>
    <w:p>
      <w:r>
        <w:t>The DI requested information from the member companies of ATASA, through it, and from other companies that had been members of the association, about total billing from the provision of valuation services and about billing generated by the provision of valuation services at the request of Commercial Registries, Tax Agencies, and Courts for the purposes, if applicable, of quantifying a hypothetical sanction. From the information provided, it</w:t>
      </w:r>
    </w:p>
    <w:p>
      <w:r>
        <w:rPr>
          <w:b/>
        </w:rPr>
        <w:t>[Pages 34–36]</w:t>
      </w:r>
    </w:p>
    <w:p>
      <w:r>
        <w:t>the conduct attributed to it is lawful. The legal framework governing Professional Associations is distinct and does not extend to the actions of ATASA in this context.</w:t>
      </w:r>
    </w:p>
    <w:p>
      <w:r>
        <w:t>In summary, the evidence presented indicates that the invoicing carried out by the companies that have conducted appraisals for the mentioned institutions is minimal. Of the 34 responses received, five indicate that during the considered period they had not provided services to the mentioned institutions, and three invoiced less than 5,000 euros over the entire period. It is evident that, with this data, the invoicing of appraisal companies resulting from these appraisals is low in relation to their total invoicing.</w:t>
      </w:r>
    </w:p>
    <w:p>
      <w:r>
        <w:t>If, insisting on the lack of relevance of this conduct, ATASA intends for the provisions of Article 5 of the LDC regarding minor importance conduct to apply, the Council wishes to point out that Article 2.1 of the Competition Defense Regulation, approved by Royal Decree 261/08, of February 22 (RDC), expressly excludes conduct consisting of the direct or indirect fixing of prices among competitors, such as that evaluated in this case, from the application of the aforementioned Article 5.</w:t>
      </w:r>
    </w:p>
    <w:p>
      <w:r>
        <w:t>ATASA, defending that this conduct does not infringe the LDC, argues that the establishment of rates and scales was not intended to restrict competition and that it has not had anticompetitive effects. In this regard, it is necessary to recall that Article 1 of the LDC does not require, to declare that an infringement has occurred, that a certain conduct has had effects, as it is sufficient that the conduct is restrictive of competition by its object or that it has the capacity to do so.</w:t>
      </w:r>
    </w:p>
    <w:p>
      <w:r>
        <w:t>As has been pointed out in previous Resolutions, this Council and the courts have confirmed that the lack of intent in committing the infringement does not deprive the conduct of associations of its unlawfulness, since Article 1 of the LDC typifies an infringement of result or objective unlawfulness, as the administrative infringement will occur when a harmful result for competition is produced or can be produced, regardless of whether this was the intended outcome. In this sense, the National Court has expressed itself, for example, in the Sixth Legal Basis of the Judgment of November 10, 2010, in case 06/637/2009 (CNC file S/0044/08 PROPOLLO), “(...) this does not prevent the conduct from being objectively restrictive of competition by its nature, (...), since the conduct can be carried out in a willful or negligent manner -clearly the provision refers to an intentional or negligent element-, the former being the one that directly aims to provoke the desired distorting effect on free competition, and the latter, which, even without intending the effect, is apt to cause it, being able to foresee such an effect, applying due diligence” (the emphasis is from the Judgment). (In an equivalent sense, STPI of July 12, 2001 in the accumulated cases T-202, 204 and 207/98, STJUE of April 5, 2006, case T-279/02).</w:t>
      </w:r>
    </w:p>
    <w:p>
      <w:r>
        <w:t>Even if it could be accepted that the ultimate purpose may have been the protection of consumers, as ATASA argues, this would not nullify the objectively restrictive nature of the competition that the attributed conduct harbors, which from the point of view of culpability, makes such conduct punishable for negligence, since ATASA has not acted with the diligence required of it in carrying out its own functions.</w:t>
      </w:r>
    </w:p>
    <w:p>
      <w:r>
        <w:t>On the other hand, as noted by the DI in the PCH, ATASA itself is aware of the application of competition regulations to its decisions, as demonstrated by the fact that in the Technical and Statistical Commission of January 25, 2010, it was indicated, in relation to the fee scale for that year, that “the competition protection regulations make it more difficult to use such scales (...)” (paragraph 56) and that in the Technical and Statistical Commission of April 15, 2010, the Guide for Business Associations, published by the CNC in December 2009, was presented to provide guidelines on the main factors that associations should consider to avoid engaging in competitive conduct, regarding the studies on variables influencing the determination of fees (folio 431).</w:t>
      </w:r>
    </w:p>
    <w:p>
      <w:r>
        <w:t>Regarding the effects, even though it is not necessary to prove them since the conduct is objectively anticompetitive, the fact that the file only records, as ATASA points out in its allegation, that an associated company in 2009 requested the association to send the current rates to apply them in an expert appraisal, indicates that the rates or scales were taken into account by the members. Therefore, the lack of specific proof of further effects does not prevent maintaining the presumption of effects, both current and potential, associated with the anticompetitive restriction by object of the attributed conduct. In this sense, it has been evidenced in the file that in 2009 there was a rate increase, agreed upon in the ATASA board of directors, ranging from 9% to 50%, and in 2011 an increase of the indicative scale, between 5.7% and 100%, without ATASA justifying that it was due to increases in service costs (folios 702 and 757-758). On the other hand, if the conduct had not had effects, it is difficult to understand why ATASA would have carried it out over six years, from 2005 to 2011.</w:t>
      </w:r>
    </w:p>
    <w:p>
      <w:r>
        <w:t>On the importance of proving effects, the Judgment of the National Court of February 21, 2013, in case 06/298/2011 (CNC file S/107/08 PLATAFORMA DEL MEJILLÓN) reinforces the doctrine on “restrictions by object” in the sense of rendering irrelevant, for typification purposes, the execution or effects of agreements: “... given the legal configuration of the infringing type both in national law and in community law, it is not relevant for its completion whether the agreements have been implemented or not and whether they have been followed by all or part of the associated companies. As the Supreme Court has pointed out, what is relevant for the concurrence of the subjective element of these infringements is the capacity or aptitude of the conduct to produce anticompetitive effects, effects that, on the other hand, as established by the contested agreement, have occurred, albeit with different intensity and at different times.”</w:t>
      </w:r>
    </w:p>
    <w:p>
      <w:r>
        <w:t>ATASA argues that its conduct is legally protected. Also in this regard, it is necessary to recall what Article 4 of the LDC establishes:</w:t>
      </w:r>
    </w:p>
    <w:p>
      <w:r>
        <w:t>“1. Without prejudice to the possible application of community provisions regarding competition defense, the prohibitions of this chapter shall not apply to conduct resulting from the application of a law.</w:t>
        <w:br/>
        <w:t>2. The prohibitions of this chapter shall apply to situations of restriction of competition that arise from the exercise of other administrative powers or are caused by the actions of public authorities or public enterprises without such legal protection.”</w:t>
      </w:r>
    </w:p>
    <w:p>
      <w:r>
        <w:t>Therefore, the application of this article must be directly provided for by a norm with the rank of law. Consequently, lower-ranking regulatory norms cannot establish restrictions on free competition, and if they do, they do not provide the legal protection referred to in Article 4 of the LDC.</w:t>
      </w:r>
    </w:p>
    <w:p>
      <w:r>
        <w:t>None of the norms cited by ATASA, therefore, enjoys the principle of legality. The Regulation of the Commercial Register has been approved by Royal Decree, and the Agreement of October 28, 2010, of the Plenary of the General Council of the Judiciary, which modifies Instruction 5/2001, of December 19, of the Council, regarding the annual submission to the judicial bodies of professional lists for their judicial designation as experts and the Protocol for the common procedural service for the assignment of judicial experts, of February 9, 2005, also does not have the character of a legal norm.</w:t>
      </w:r>
    </w:p>
    <w:p>
      <w:r>
        <w:t>On the other hand, Royal Decree 1784/1996, of July 19, which approves the Regulation of the Commercial Register establishes in Article 340.3, regarding the appointment of independent experts by the Registrar, that the remuneration of the experts must comply with the rules established by the respective Professional Associations. The preamble of the Protocol modified by the aforementioned Agreement of the Plenary of the General Council of the Judiciary also refers to the indicative fee scales to be submitted by the Professional Associations. In no case do they refer to business associations.</w:t>
      </w:r>
    </w:p>
    <w:p>
      <w:r>
        <w:t>In this sense, it is surprising that ATASA considers that its actions are protected by the Law on Professional Associations of 1974 and its successive modifications and cites, in particular, Article 5.ñ), in its wording of 1997, and the Fourth Additional Provision, added in 2009. In the Spanish legal system, Professional Associations are recognized by Article 36 of the Spanish Constitution, which, by expressly referring to them and considering that they must be regulated explicitly by Law, singularizes them, differentiating them from Associations. This singular nature of Professional Associations is also reflected in Law 2/1974, of February 13, on Professional Associations (LCP), which legally configures them as Corporations of public law and recognizes them certain purposes of an eminently public nature, such as the regulation of the profession or the protection of the interests of users of professional services.</w:t>
      </w:r>
    </w:p>
    <w:p>
      <w:r>
        <w:t>This singular nature, which essentially differentiates it from associations, is what does not allow admitting that ATASA can rely on its regulation to defend that</w:t>
      </w:r>
    </w:p>
    <w:p>
      <w:r>
        <w:rPr>
          <w:b/>
        </w:rPr>
        <w:t>[Pages 37–39]</w:t>
      </w:r>
    </w:p>
    <w:p>
      <w:r>
        <w:t>circunstancias del caso concreto, así como la gravedad de la infracción y la culpabilidad de la asociación. En este sentido, el Consejo ha considerado que la conducta de ATASA, al haber incurrido en una infracción muy grave, justifica la imposición de una sanción en el límite máximo establecido por la normativa.</w:t>
      </w:r>
    </w:p>
    <w:p>
      <w:r>
        <w:t>OCTAVO.- Sobre la publicación de la resolución</w:t>
        <w:br/>
        <w:t>De conformidad con lo dispuesto en el artículo 63.1 de la Ley 15/2007, el Consejo acuerda la publicación de la presente resolución en el Boletín Oficial del Estado, así como en la página web de la CNC, a efectos de dar cumplimiento a la obligación de transparencia y de información pública que le es inherente.</w:t>
      </w:r>
    </w:p>
    <w:p>
      <w:r>
        <w:t>NOVENO.- Recursos</w:t>
        <w:br/>
        <w:t>Contra la presente resolución, que pone fin a la vía administrativa, podrá interponerse recurso contencioso-administrativo ante la Audiencia Nacional en el plazo de dos meses a contar desde el día siguiente al de su notificación, de conformidad con lo dispuesto en el artículo 46 de la Ley 29/1998, de 13 de julio, reguladora de la jurisdicción contencioso-administrativa.</w:t>
      </w:r>
    </w:p>
    <w:p>
      <w:r>
        <w:rPr>
          <w:b/>
        </w:rPr>
        <w:t>[Pages 40–41]</w:t>
      </w:r>
    </w:p>
    <w:p>
      <w:r>
        <w:t>TDC as the limit of the sanctioning capacity when the accused are operators without turnover (Expte. 312/99, Vinos de Guipúzcoa).</w:t>
      </w:r>
    </w:p>
    <w:p>
      <w:r>
        <w:t>According to the jurisprudence of the Supreme Court, the discretion that Article 10 of Law 16/1989 grants to the CNC must be exercised by weighing the concurrent circumstances, in order to achieve the necessary and due proportionality between the alleged facts and the responsibility required, given that any sanction must be determined in accordance with the severity of the infringement committed. This Council considers that at least negligence is present in the commission of the infringing conduct declared in the Fourth Legal Basis of this Resolution. The established facts attest to the voluntariness in the commission of the typical conduct (principle of culpability) from the objective pursued by ATASA in preparing lists of minimum tariffs and minimum indicative fee scales, to their sending to the institutions and their dissemination among its members, and, given its representativeness, which reached 95% during the period in which it carried out the infringing conduct (Established Fact 1 of this Resolution, folio 796), it can only be concluded that ATASA has acted in relation to the infringement declared in this file omitting all diligence in observing the obligation imposed by Article 1.1 of the LDC.</w:t>
      </w:r>
    </w:p>
    <w:p>
      <w:r>
        <w:t>In view of the fact that the infringement is very serious, of a continuous nature, whose duration over time has been notably high, from 2005 to 2011, and has resulted in revenues for the members of 3,601,354 euros during the period, from the representativeness of ATASA in the sector, from the total turnover of ATASA members in 2011, 224,835,824 euros, and that effects could not be quantified, the Council sets the sanction for ATASA at 200,000 euros, an amount that it considers allows for maintaining the necessary balance between the deterrent effect that any fine must have while respecting the principle of proportionality.</w:t>
      </w:r>
    </w:p>
    <w:p>
      <w:r>
        <w:t>Based on the above, the Council of the National Competition Commission in the composition stated at the beginning, having seen the cited provisions and the others of general application</w:t>
      </w:r>
    </w:p>
    <w:p>
      <w:r>
        <w:t>RESOLVES</w:t>
      </w:r>
    </w:p>
    <w:p>
      <w:r>
        <w:t>FIRST.- To declare that in this file an infringement of Article 1 of the Competition Defense Law has been established, for which the Professional Association of Valuation Companies (ATASA) is responsible, consisting of the preparation of a list of minimum tariffs during the period 2005-2009 and a scale of minimum indicative fees during the period 2010-2011 for providing appraisal services requested by Tax Administrations, Courts, and Commercial Registries.</w:t>
      </w:r>
    </w:p>
    <w:p>
      <w:r>
        <w:t>SECOND.- To impose on the Professional Association of Valuation Companies (ATASA) a sanctioning fine in the amount of two hundred thousand euros (200,000€).</w:t>
      </w:r>
    </w:p>
    <w:p>
      <w:r>
        <w:t>THIRD.- To declare, under the protection of Article 53.1.c) of Law 15/2007 of July 3, on Competition Defense, that in this file the existence of an infringement of Article 1 of the aforementioned Law by the Professional Association of Appraisal Companies (ATASA) has not been established for the conduct consisting of the monthly sending to its members of suggestions for rates and fees and the preparation of the BESDATASA database and the ATASA Standard for measuring property surfaces.</w:t>
      </w:r>
    </w:p>
    <w:p>
      <w:r>
        <w:t>FOURTH.- To urge the Directorate of Investigation to monitor and ensure the full compliance of this Resolution.</w:t>
      </w:r>
    </w:p>
    <w:p>
      <w:r>
        <w:t>Communicate this Resolution to the Directorate of Investigation of the CNC and notify the interested party, informing them that no administrative appeal can be filed against it, being able to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