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https://www.cnmc.es/expedientes/s036211</w:t>
      </w:r>
    </w:p>
    <w:p>
      <w:r>
        <w:t>Pages translated : 12</w:t>
      </w:r>
    </w:p>
    <w:p/>
    <w:p>
      <w:r>
        <w:rPr>
          <w:b/>
        </w:rPr>
        <w:t>[Pages 1–3]</w:t>
      </w:r>
    </w:p>
    <w:p>
      <w:r>
        <w:t xml:space="preserve">RESOLUTION  </w:t>
        <w:br/>
        <w:t xml:space="preserve">(Exp. S/362/11 PROMAGAL/ENCE)  </w:t>
        <w:br/>
        <w:t xml:space="preserve">Council  </w:t>
        <w:br/>
        <w:t xml:space="preserve">Mr. Joaquín García Bernaldo de Quirós,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 xml:space="preserve">Ms. Paloma Ávila de Grado, Councilor  </w:t>
        <w:br/>
        <w:t xml:space="preserve">Mr. Luis Díez Martín, Councilor.  </w:t>
        <w:br/>
        <w:t xml:space="preserve">In Madrid, on April 20, 2012  </w:t>
        <w:br/>
        <w:t xml:space="preserve">The Council of the National Competition Commission, with the composition expressed and being the Rapporteur Councilor Ms. Inmaculada Gutiérrez Carrizo, has issued the following Resolution in the reserved information file S/362/11 PROMAGAL/ENCE, opened by the Directorate of Investigation (DI) for the possible existence of practices contrary to Article 1 of Law 15/2007, of July 3, on the Defense of Competition, consisting of a price agreement between ENCE and PROMAGAL, setting the price of a ton of eucalyptus.  </w:t>
        <w:br/>
        <w:t xml:space="preserve">FACTUAL BACKGROUND  </w:t>
        <w:br/>
        <w:t xml:space="preserve">1. On July 20, 2011, the Directorate of Investigation became aware, through the Competition Defense Authorities of Galicia and Andalusia, of the possible existence of conduct prohibited by Law 15/2007, of July 3, on the Defense of Competition (LDC), consisting of a possible price agreement between ENCE and the Federation of Forest Owners PROMAGAL, setting the price of a ton of eucalyptus with bark, according to press reports and certain websites.  </w:t>
        <w:br/>
        <w:t xml:space="preserve">2. In accordance with the provisions of Article 49.2 LDC, the Directorate of Investigation initiated a reserved inquiry to determine whether there were indications of infringement in the reported facts and whether the circumstances existed that would justify the initiation of a sanctioning file. To this end, it made requests for information to PROMAGAL and ENCE on July 21, September 28, and November 30, 2011.  </w:t>
        <w:br/>
        <w:t xml:space="preserve">3. The Directorate of Investigation provides the following description of the parties:  </w:t>
        <w:br/>
        <w:t xml:space="preserve">Federation of Wood Producers of Galicia (PROMAGAL).  </w:t>
        <w:br/>
        <w:t xml:space="preserve">According to the information provided by the parties, PROMAGAL is a federation created in 2006 with the aims of defending the common interests of its members in the economic, social, professional, and cultural fields. It has had legal personality since January 2008, and its activity is organized through a General Assembly, a Board of Directors, and a President with representative functions. Decisions are made by a simple majority, with the associations committed to adopting them.  </w:t>
        <w:br/>
        <w:t xml:space="preserve">It brings together 22 regional Galician associations created by small wood producers to whom it has been providing management and negotiation services since 2010. The associations federated with PROMAGAL are: PROMAFE, PROMAMOECHE, PROMAFOZ, PROMATAR, PROMARRIBA, PROMACERVO, PROMABARREIROS, PROMAVI, PROSORGRAÑAS, PROMAVICE, PROMALOU, PROMACCA, PROMAXOVE, PROMAOUROL, PROMASO, PROMAOR, PROMACE, PROMAMAÑON, PROMASAN, PROMAMONDO, PROMAPONTE, PROMAORTI. However, these associations enter into agreements with intermediary companies for the sale of wood outside of PROMAGAL.  </w:t>
        <w:br/>
        <w:t xml:space="preserve">PROMAGAL has been a member of the Wood Table since 2008, a committee created by the Ministry of Rural Affairs of Galicia to promote the Galician forestry sector composed of representatives from: i) associations and organizations of forest owners and foresters; ii) forest service associations in Galicia; iii) associations of wood harvesting companies and first and second transformation industries; and iv) the Galician public administration. PROMAGAL has attended approximately 10 meetings since the establishment of this table.  </w:t>
        <w:br/>
        <w:t xml:space="preserve">On its part, the Forestry Council of Galicia, created by Decree 306/2004, of December 2, aims to facilitate the sustainable management of Galician forests and promote the economic, social, and environmental development of the forestry sector (Article 1 of Decree 306/2004). Like the Wood Table, it meets once or twice a year. PROMAGAL has participated in 5 meetings of the Forestry Council of Galicia.  </w:t>
        <w:br/>
        <w:t xml:space="preserve">ENCE BUSINESS GROUP, S.A.  </w:t>
        <w:br/>
        <w:t xml:space="preserve">ENCE is a business group dedicated to sustainable forest management. Its origins date back to 1957, with the creation by the National Institute of Industry of the National Company of Cellulose of Pontevedra, the National Company of Cellulose of Huelva, and the National Company of Cellulose of Motril. It is therefore an old public company, privately owned since 2001, that began its activity with the production of cellulose and the management of forest areas in Spain, Portugal, and Uruguay.  </w:t>
        <w:br/>
        <w:t xml:space="preserve">According to its website, it is now a European leader in eucalyptus cellulose production and a leader in Spain in renewable energy from biomass. It has three industrial complexes in Spain (Huelva, Navia –Asturias– and Pontevedra) with a capacity to produce 1.3 million tons of paper pulp and 1.7 million MW/h of renewable electric energy. Based on this, the company is developing new energy projects to maximize the efficiency of its plants and leverage its forestry experience to grow in renewable energy generation from biomass.  </w:t>
        <w:br/>
        <w:t xml:space="preserve">In 2010, its turnover amounted to 870 million euros, managing approximately 116,000 hectares of forest in Spain, Portugal, and Uruguay.  </w:t>
        <w:br/>
        <w:t xml:space="preserve">4. The Directorate of Investigation provides the following description of the wood exploitation sector and, in particular, the market for the buying and selling of eucalyptus wood for cellulose production.  </w:t>
        <w:br/>
        <w:t xml:space="preserve">From the demand perspective, the cellulose pulp produced worldwide can be classified into two main product categories: i) long fiber or softwood, derived from coniferous species such as pine or spruce, and ii) short fiber or hardwood, derived from broadleaf species such as eucalyptus or birch. Both products are essentially distinct (different production processes, different uses…).  </w:t>
        <w:br/>
        <w:t xml:space="preserve">The file fundamentally affects the exploitation of eucalyptus. The eucalyptus wood industry aims to meet the needs of wood pulp producers (cellulose), an intermediate industrial product mainly used in the manufacture of paper pulp, as well as in board production and, to a lesser extent, in sawmills. For its exploitation, different related activities must be distinguished:  </w:t>
        <w:br/>
        <w:t xml:space="preserve">Eucalyptus cultivation: a low labor-intensive agricultural activity, with a relatively long maturation period, with trees being cut down after a period of 10 to 15 years from planting. Given the smallholdings that characterize the forest in northern Spain, particularly pronounced in Galicia, and the economic difficulty of transporting machinery for exploitation on plots of less than one hectare (the average property size in Galicia is half a hectare), it is common for owners to group together to negotiate the sale of wood.  </w:t>
        <w:br/>
        <w:t xml:space="preserve">Exploitation: felling, cutting, cleaning, and loading for the transportation of wood to consumption centers – cellulose manufacturing plants – or wood parks, board industry, and sawmills. To carry out this activity, prior purchase of wood is made in two ways, by intermediary companies (which subsequently resell it to wood pulp production industries) or by the cellulose production companies themselves, which acquire the wood "at the foot of the mountain" from the owners.  </w:t>
        <w:br/>
        <w:t>Supply of eucalyptus wood by cellulose production companies. This activity can be carried out in four ways: i) own production; ii) purchase of wood from the owners of the operations; iii) through the acquisition of wood from intermediary companies; iv) by</w:t>
      </w:r>
    </w:p>
    <w:p>
      <w:r>
        <w:rPr>
          <w:b/>
        </w:rPr>
        <w:t>[Pages 4–6]</w:t>
      </w:r>
    </w:p>
    <w:p>
      <w:r>
        <w:t>supply.” The clause also specifies that the wood will be delivered to the locations designated by ENCE.</w:t>
      </w:r>
    </w:p>
    <w:p>
      <w:r>
        <w:t>The contract further stipulates in clause 1.2 that the price of the wood will be determined based on the market conditions at the time of delivery, ensuring that it reflects the current value of the wood in the market.</w:t>
      </w:r>
    </w:p>
    <w:p>
      <w:r>
        <w:t>Clause 2 outlines the obligations of the parties involved, emphasizing that PROMAGAL must ensure that the wood supplied meets the quality standards established by ENCE. Additionally, PROMAGAL is responsible for coordinating the logistics of the delivery to ensure timely supply.</w:t>
      </w:r>
    </w:p>
    <w:p>
      <w:r>
        <w:t>In clause 3, the contract addresses the duration of the agreement, which is set for a period of one year, with the possibility of renewal upon mutual agreement of the parties.</w:t>
      </w:r>
    </w:p>
    <w:p>
      <w:r>
        <w:t>Clause 4 discusses the dispute resolution mechanism, stating that any disagreements arising from the interpretation or execution of the contract will be resolved through arbitration in accordance with the rules of the Arbitration Court of the Chamber of Commerce.</w:t>
      </w:r>
    </w:p>
    <w:p>
      <w:r>
        <w:t>Finally, clause 5 includes confidentiality provisions, obligating both parties to maintain the confidentiality of the terms of the contract and any sensitive information exchanged during its execution.</w:t>
      </w:r>
    </w:p>
    <w:p>
      <w:r>
        <w:t>In conclusion, the contract signed on May 24, 2011, between ENCE and PROMAGAL establishes a framework for the continuous supply of eucalyptus wood, ensuring compliance with quality standards and providing mechanisms for dispute resolution and confidentiality.</w:t>
      </w:r>
    </w:p>
    <w:p>
      <w:r>
        <w:rPr>
          <w:b/>
        </w:rPr>
        <w:t>[Pages 7–9]</w:t>
      </w:r>
    </w:p>
    <w:p>
      <w:r>
        <w:t>supply madera a los propietarios agrupados en PROMAGAL.</w:t>
      </w:r>
    </w:p>
    <w:p>
      <w:r>
        <w:t>Clause 1.1 establishes that the object of the contract will be "the continuous supply of […] tons of wood over twelve months from the signing of the agreement, with some flexibility upwards or downwards due to possible difficulties in the certification process, or stoppages or delays by third parties, being able to reduce or increase the term or the quantity of wood stipulated. The figure of logging by round plots will be promoted by the Associations and service companies, with the possibility of associating interested owners in this logging system. All this with the aim of achieving sustainable exploitation of the wood."</w:t>
      </w:r>
    </w:p>
    <w:p>
      <w:r>
        <w:t>Based on clause 1.2 of the contract, the sale of eucalyptus wood will be carried out, as well as a possible extension to pine wood or other timber species resulting from the logging of mixed stands, to third companies that consume such products. Furthermore, it is established that PROMAGAL will be responsible for the sale of the wood and for payments to the owners, while ENCE commits to negotiating with the intermediary purchasing companies, as well as achieving the best prices for these woods.</w:t>
      </w:r>
    </w:p>
    <w:p>
      <w:r>
        <w:t>ENCE only sources eucalyptus wood for pulp production, so it is not interested in sourcing wood from other species, neither from PROMAGAL nor from third parties. However, this clause is included because it is inevitable that seeds of some other species (such as pines, for example) will reach the lands and, therefore, there will be trees of other species different from eucalyptus in the forests. During logging, it is not effective to select between species. Since there is also demand for wood from species other than eucalyptus (although ENCE does not use them), clause 1.2 articulates this formula to give it an outlet.</w:t>
      </w:r>
    </w:p>
    <w:p>
      <w:r>
        <w:t>However, in practice, what is written in the second part of clause 1.2 has translated into somewhat different actions by ENCE and PROMAGAL, with the former assuming the activity of reselling wood other than eucalyptus, instead of PROMAGAL doing so as stipulated in the contract. Nevertheless, ENCE estimates that this production is residual, in any case less than 1%.</w:t>
      </w:r>
    </w:p>
    <w:p>
      <w:r>
        <w:t>Clause 1.5 of the contract extends the agreement to other persons or associations that do not belong to PROMAGAL "or whose initials begin with PROMA," with prior consent from the Federation.</w:t>
      </w:r>
    </w:p>
    <w:p>
      <w:r>
        <w:t>Clause 3.1 of the contract contemplates a base price for eucalyptus destined for paper pulp of […] € per ton of wood with bark, to which the "ENCE premiums" of […] € must be added, which can reach up to […] € if the round plot logging system is followed. This is due to the greater efficiencies achieved in the exploitation of the wood. The premiums depend on the quantity of deliveries ([…] € per ton with bark), the chain of custody ([…] € per ton with bark), and the double certification PEFC and FSC, of sustainable forest management, of […] € per ton with bark. The total price resulting from the sale of eucalyptus in the forest with bark will be […] € plus VAT per ton, a figure that rises to […] €/ton if the wood is debarked.</w:t>
      </w:r>
    </w:p>
    <w:p>
      <w:r>
        <w:t>The contract with ENCE was signed by 11 Associations and since that date, 3 other federated Associations in PROMAGAL have joined: PROMACE, PROMAPONTE, and PROMAORTI.</w:t>
      </w:r>
    </w:p>
    <w:p>
      <w:r>
        <w:t>Making use of the flexibility provided in the contract, on November 23, 2011, ENCE sent a letter to PROMAGAL informing them that the Galician producers associated with it "have offered a volume of wood that has exceeded the amount guaranteed in the aforementioned framework agreement," specifically "a total of more than […] tons of eucalyptus globulus wood, of which […] tons have already been cut, and that in "said contracts the reference prices and conditions provided therein have been signed." Furthermore, it indicates that "ENCE does not intend to sign new wood purchase contracts with the producers linked to your association, within the framework of the agreement of May 24, 2011," since […].</w:t>
      </w:r>
    </w:p>
    <w:p>
      <w:r>
        <w:t>The Report on the wood industry in Galicia in 2010 indicates that the total logging of eucalyptus in this Autonomous Community amounted to 6,868,500 m3 of wood, which is equivalent to 7,417,980 tons. Considering that the wood acquired under the agreement with PROMAGAL would involve the logging of […] tons, this would represent less than [5]% of the total eucalyptus wood logged in Galicia in 2010.</w:t>
      </w:r>
    </w:p>
    <w:p>
      <w:r>
        <w:t>The set of associations that make up PROMAGAL groups approximately 2,500 producers (forest owners), who in no case account for more than 30% of national production; specifically, what is acquired under the agreement with PROMAGAL represents in any case less than 5% of the total supply of eucalyptus wood in the Iberian market.</w:t>
      </w:r>
    </w:p>
    <w:p>
      <w:r>
        <w:t>On March 27, 2012, the Directorate of Investigation sent to this Council of the CNC a Proposal for Filing of the actions followed in the reference file in accordance with the provisions of Article 49.3 of the LDC. The Directorate of Investigation considers that the contract signed between ENCE and PROMAGAL is not contrary to competition for various reasons:</w:t>
      </w:r>
    </w:p>
    <w:p>
      <w:r>
        <w:t>1) On the possible action of PROMAGAL as a central sales entity</w:t>
        <w:br/>
        <w:t>Although the agreement between ENCE and PROMAGAL implies the existence of a coordinated position of the producers associated with PROMAGAL, it should be noted that these federated associations of Galician wood producers have not jointly established all commercial aspects related to the sale of their product at any time. Each association is free to enter into agreements with intermediary companies in the sale of wood outside of PROMAGAL, and the latter cannot know the quotas or profits obtained by such associations as a result of signing such agreements. In this sense, it is noteworthy that the agreement reached between PROMAGAL and ENCE is not binding for the associations and wood producers, who can freely allocate their wood to other customers.</w:t>
      </w:r>
    </w:p>
    <w:p>
      <w:r>
        <w:t>Therefore, even analyzing the agreement from the perspective of joint sales or marketing agreements stipulated by the Guidelines on the applicability of Article 101 of the TFEU to horizontal cooperation agreements, it cannot be concluded that it is an agreement that has as its object or effect the compartmentalization of the market or that could lead to a collusive outcome. It should be added that the set of associations that make up PROMAGAL groups approximately 2,500 producers (forest owners), who in no case account for more than 30% of national production, as it is a deeply atomized sector; specifically, the 282,000 tons acquired under the agreement with PROMAGAL represent approximately 2% of the supply of eucalyptus wood in the Iberian market, far from the reference thresholds in the aforementioned Guidelines that indicate that it is unlikely that there will be market power (and therefore, that restrictive effects will occur) if the joint market share of the parties to the marketing agreement does not exceed 15%.</w:t>
      </w:r>
    </w:p>
    <w:p>
      <w:r>
        <w:t>2) On the possible efficiencies derived from the relationship between PROMAGAL and ENCE through clause 1.2 of the contract</w:t>
        <w:br/>
        <w:t>From the analysis of this clause and its practical realization, it follows that ENCE's action as a seller of eucalyptus wood does not seem to negatively affect competition. Firstly, the common denominator of the purchase-sale contract is the efficiencies derived from both the better prices paid to the owners through the increase in premiums and the savings in management and exploitation costs of eucalyptus wood, due to the advantages of the round plot logging system. In the absence of such a contract, there could be an increase in prices resulting from the increase in costs due to the lower negotiating power of the parties individually considered (forest owners) and the application of less efficient logging systems, which, when passed on to the final price, would represent a clear detriment to the consumer.</w:t>
      </w:r>
    </w:p>
    <w:p>
      <w:r>
        <w:t>Secondly, in ENCE's action as a seller, the possibility that it affects pine or other timber species is contemplated, because it is inevitable that seeds of some other species will reach the lands and because it is not efficient to select between species when there is demand in the market for wood from species other than eucalyptus. In any case, it has been proven that the importance of sales of this pine production is clearly residual, on the order of 1%.</w:t>
      </w:r>
    </w:p>
    <w:p>
      <w:r>
        <w:t>3) On the extension of the contract to third parties based on clause 1.5 of the contract</w:t>
        <w:br/>
        <w:t>Since the signing of the contract on May 24, 2011, three federated associations in PROMAGAL with operations in Galicia have joined it. However, as already noted, the amount of eucalyptus wood acquired under the agreement with PROMAGAL only represents 2% of the supply of that wood in the Iberian market, so regardless of whether they could</w:t>
      </w:r>
    </w:p>
    <w:p>
      <w:r>
        <w:rPr>
          <w:b/>
        </w:rPr>
        <w:t>[Pages 10–12]</w:t>
      </w:r>
    </w:p>
    <w:p>
      <w:r>
        <w:t>federated associations in PROMAGAL with operations in Galicia. However, as already noted, the amount of eucalyptus wood acquired under the agreement with PROMAGAL only represents 2% of the supply of that wood in the Iberian market, so regardless of whether new producers could join the agreement, it remains far from representing a minimally relevant percentage of the production of eucalyptus wood in the Iberian Peninsula. Additionally, making use of the flexibility provided in the contract, on November 23, 2011, ENCE communicated to PROMAGAL that it does not intend to sign new wood purchase contracts with the producers linked to it within the framework of the agreement of May 24, 2011, due to the worsening of the global economic environment since the signing of the aforementioned framework agreement.</w:t>
      </w:r>
    </w:p>
    <w:p>
      <w:r>
        <w:t>Therefore, it can be concluded that the agreement signed between ENCE and PROMAGAL on May 24, 2011, given its scope and its practical implementation, is not likely to affect competition in the market for the buying and selling of eucalyptus wood.</w:t>
      </w:r>
    </w:p>
    <w:p>
      <w:r>
        <w:t>In light of the above, this Directorate of Investigation considers that there are no indications of a possible infringement of Article 1 of the LDC arising from the aforementioned agreement between the producers grouped in PROMAGAL and the company ENCE.</w:t>
      </w:r>
    </w:p>
    <w:p>
      <w:r>
        <w:t>8. The Council of the National Competition Commission deliberated and issued this Resolution in its meeting on April 18, 2012.</w:t>
      </w:r>
    </w:p>
    <w:p>
      <w:r>
        <w:t>LEGAL GROUNDS</w:t>
      </w:r>
    </w:p>
    <w:p>
      <w:r>
        <w:t>FIRST.- Article 49.1 of the LDC provides that the DI will initiate sanctioning proceedings when it observes rational indications of the existence of prohibited conduct under Articles 1, 2, and 3 of the same Law. In number 3 of the aforementioned Article 49, it is added that the Council, at the proposal of the Directorate of Investigation, will agree not to initiate sanctioning proceedings and, consequently, to archive the actions taken when it considers that there are no indications of infringement.</w:t>
      </w:r>
    </w:p>
    <w:p>
      <w:r>
        <w:t>SECOND.- In view of the complaint filed and the analysis of the facts carried out by the Directorate of Investigation, the Council does not perceive rational indications of infringement of Law 15/2007. The Council shares the arguments by which the Directorate of Investigation dismisses the existence of an infringement of Article 1 of Law 15/2007.</w:t>
      </w:r>
    </w:p>
    <w:p>
      <w:r>
        <w:t>The Framework Agreement entered into by the Associations belonging to PROMAGAL, which leads to the signing of the contract between ENCE and PROMAGAL, constitutes a marketing agreement that involves cooperation among competitors (certain eucalyptus wood producers in Galicia) for the utilization and sale of their product.</w:t>
      </w:r>
    </w:p>
    <w:p>
      <w:r>
        <w:t>This type of marketing agreements among competitors may entail certain restrictions on competition, such as price fixing. Therefore, it is necessary to analyze it according to the criteria contained in the Guidelines on Horizontal Cooperation Agreements.</w:t>
      </w:r>
    </w:p>
    <w:p>
      <w:r>
        <w:t>In this regard, given the fragmentation of eucalyptus wood producers, the Agreement aims to improve the utilization of the involved forest operations and facilitate access to the market for the product.</w:t>
      </w:r>
    </w:p>
    <w:p>
      <w:r>
        <w:t>As the Directorate of Investigation recalls in its Proposal for Archiving: In line with the recommendations included in the "Report on Competition and the Agri-food Sector" of the CNC, the supply at the first link of the agri-food value chain in Spain often suffers from high fragmentation. This imbalance in the bargaining power between suppliers and demanders can lead to inefficiencies, so its rebalancing can be positive, as long as it contributes to improving the functioning of the value chain and the market. Furthermore, the European Commission has indicated that, specifically in the primary sector, ways to strengthen the negotiating position of farmers should be investigated, for example, through the creation of organizations, without prejudice to the legal observance of competition rules.</w:t>
      </w:r>
    </w:p>
    <w:p>
      <w:r>
        <w:t>Certain circumstances lead to the conclusion that the prohibition of Article 1 of the LDC is not applicable to this joint marketing framework agreement, nor to the contract with ENCE.</w:t>
      </w:r>
    </w:p>
    <w:p>
      <w:r>
        <w:t>First, it is an Agreement that affects a percentage much lower than 15% of the national supply of eucalyptus wood, even from Galicia.</w:t>
      </w:r>
    </w:p>
    <w:p>
      <w:r>
        <w:t>Second, the agreement allows for competition, as producers can sell independently of PROMAGAL and ENCE and compete on quality.</w:t>
      </w:r>
    </w:p>
    <w:p>
      <w:r>
        <w:t>Third, producers face strong negotiating power from demand. In fact, less than a year later, ENCE decided to renegotiate the Agreement.</w:t>
      </w:r>
    </w:p>
    <w:p>
      <w:r>
        <w:t>Even if it were understood that the Agreement is restrictive of competition according to Article 1.1 of the LDC, it must be taken into account that the joint marketing agreement by the producers and the contract with ENCE allow for the realization of very significant efficiency gains in the utilization of wood (felling, cutting, cleaning, and loading for transport of the wood to consumption centers), which have already been described by the Directorate of Investigation and which compensate for and justify the restrictions that the marketing agreement may entail, so that under paragraph 3 of Article 1 of the LDC it should be considered that the prohibition of paragraph 1 of that article does not apply to the case.</w:t>
      </w:r>
    </w:p>
    <w:p>
      <w:r>
        <w:t>Therefore, as there are no indications of restrictive practices prohibited by Article 1 of the Law on Competition Defense, the Council considers the Proposal for Archiving of the actions taken in the framework of file S/362/11 PROMAGAL/ENCE to be lawful.</w:t>
      </w:r>
    </w:p>
    <w:p>
      <w:r>
        <w:t>For all the above, in view of the cited provisions and those of general application, the Council of the National Competition Commission</w:t>
      </w:r>
    </w:p>
    <w:p>
      <w:r>
        <w:t>HAS RESOLVED</w:t>
      </w:r>
    </w:p>
    <w:p>
      <w:r>
        <w:t>SOLE.- Under Article 49.3 of Law 15/2007 of July 3, on Competition Defense, not to initiate sanctioning proceedings and to archive the reserved actions followed under number S/362/11 PROMAGAL/ENCE, considering that there are no indications of infringement of Article 1 of the aforementioned Law.</w:t>
      </w:r>
    </w:p>
    <w:p>
      <w:r>
        <w:t>This Resolution shall be communicated to the Directorate of Investigation and notified to the Federation of Wood Producers of Galicia and to the BUSINESS GROUP ENCE, S.A., informing them that it concludes the administrative process and that they may file a contentious-administrative appeal against it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