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https://www.cnmc.es/expedientes/s036911</w:t>
      </w:r>
    </w:p>
    <w:p>
      <w:r>
        <w:t>Pages translated : 9</w:t>
      </w:r>
    </w:p>
    <w:p/>
    <w:p>
      <w:r>
        <w:rPr>
          <w:b/>
        </w:rPr>
        <w:t>[Pages 1–3]</w:t>
      </w:r>
    </w:p>
    <w:p>
      <w:r>
        <w:t xml:space="preserve">RESOLUTION (EXPTE. S/369/11 TEXACO)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30, 2012  </w:t>
        <w:br/>
        <w:t>The Council of the National Competition Commission (the Council), with the composition already expressed and being Rapporteur Ms. Pilar Sánchez Núñez, has issued the following Resolution in the file S/0369/11 TEXACO, in which the COOPERATIVE OF TAXI ENTREPRENEURS OF TELDE reports TEXACO PETROLÍFERA, S.A. for alleged restrictive competition practices that could constitute a violation of Article 1 of Law 15/2007, of July 3, on the Defense of Competition (LDC).</w:t>
      </w:r>
    </w:p>
    <w:p>
      <w:r>
        <w:t xml:space="preserve">FACTUAL BACKGROUND  </w:t>
        <w:br/>
        <w:t xml:space="preserve">Complaint  </w:t>
        <w:br/>
        <w:t xml:space="preserve">1. On September 2, 2011, Mr. […], on behalf of the Cooperative of Taxi Entrepreneurs of Telde (hereinafter, THE COOPERATIVE), filed a complaint with the CNC against Texaco Petrolífera, S.A. (hereinafter, TEXACO), for alleged restrictive competition practices prohibited by Article 1 of Law 15/2007, of July 3, on the Defense of Competition (hereinafter, LDC), consisting of the signing of a long-term exclusive supply contract (folios 1 to 19).  </w:t>
        <w:br/>
        <w:t>2. On November 3, 2011, a file was received from the Vice Ministry of Economy and Economic Affairs with the EU of the Government of the Canary Islands that contained the same facts reported, and it was incorporated into the same by agreement dated January 20, 2012 (folios 20 to 105).</w:t>
      </w:r>
    </w:p>
    <w:p>
      <w:r>
        <w:t xml:space="preserve">Investigation  </w:t>
        <w:br/>
        <w:t xml:space="preserve">Request for correction and information from the complainant  </w:t>
        <w:br/>
        <w:t xml:space="preserve">3. On January 26, 2010, the Directorate of Investigation requested the correction of the information contained in the complaint, informing the complainant that their submission did not meet the requirements set forth in Article 25 of the Regulation on the Defense of Competition, approved by Royal Decree 261/2008, of February 22 (hereinafter, RDC), requesting the following:  </w:t>
        <w:br/>
        <w:t xml:space="preserve">- Accreditation of representation (folios 106 to 109).  </w:t>
        <w:br/>
        <w:t xml:space="preserve">- Sales volume of the cooperative in the last 10 years.  </w:t>
        <w:br/>
        <w:t xml:space="preserve">- Reason why they indicate they would incur a penalty if not supplied exclusively by TEXACO, since such a clause does not appear in the contract.  </w:t>
        <w:br/>
        <w:t xml:space="preserve">- Manner in which the branding of the station is regulated, since it is not addressed in the contract.  </w:t>
        <w:br/>
        <w:t>This was answered on February 7, 2012 (folios 110 to 137).</w:t>
      </w:r>
    </w:p>
    <w:p>
      <w:r>
        <w:t xml:space="preserve">Withdrawal of the complainant  </w:t>
        <w:br/>
        <w:t xml:space="preserve">4. On February 22, 2012, the complainant requested in writing to be considered as having withdrawn the complaint, having reached an agreement with TEXACO and signed a new contract (folio 138). This withdrawal was accepted on March 8, 2012, limiting its effects to the loss of the status of interest, regardless of whether the Directorate of Investigation continued ex officio with the actions it deemed necessary in accordance with Article 25.4 of the RDC (folios 139 to 142).  </w:t>
        <w:br/>
        <w:t>5. Articles 90 and 91 of Law 30/1992, of November 26, on the Legal Regime of Public Administrations and the Common Administrative Procedure regulate issues regarding withdrawal. Any interested party may withdraw their application by documenting it, and the Administration will accept it unless third parties interested in the procedure request its continuation or the issue raised involves a general interest or it is advisable to substantiate it for its definition and clarification, in which case the Administration may limit the effects of the withdrawal and continue the procedure. In this case, it has been considered that the issue raised involves a general interest, as evidenced by the existence of other very similar precedents, both at the national level (Expte. 2575/04 DISA CANARIAS, Expte. R 691 DISA; Expte. 2740/06 TOTAL; Expte. 2738/06 GALP; Expte. 2739/06 AGIP; Expte. 2697/06 CEPSA), and at the community level (Commission Decision of 12/04/2006, As. COMP/B-1/38.348 – REPSOL), therefore it was deemed appropriate to continue with the reserved information, in order to determine the concurrence of circumstances that justified the initiation of a sanctioning file.</w:t>
      </w:r>
    </w:p>
    <w:p>
      <w:r>
        <w:t xml:space="preserve">Request for information from the defendant  </w:t>
        <w:br/>
        <w:t xml:space="preserve">6. On March 15, 2012, TEXACO was requested (folios 143 to 148) for the following information:  </w:t>
        <w:br/>
        <w:t xml:space="preserve">- Number of service stations in its distribution network and market share in the geographical area of reference.  </w:t>
        <w:br/>
        <w:t xml:space="preserve">- Number of service stations in the DODO and CODO-Lease modalities that were part of its distribution network in the period from 2008 to 2011. DODO (Dealer Owned-Dealer Operated) refers to supply facilities owned by a natural or legal person linked to the wholesale operator through an exclusive supply contract that usually includes the branding of the facility, and CODO (“Company Owned-Dealer Operated”) refers to supply facilities managed by third parties unrelated to the wholesale operator, with exclusive fuel supply, where the ownership of the facilities (full or surface) belongs to the wholesale operator. In the CODO-Lease modality, the null ownership of the service station is held by third parties who have granted a surface right in favor of the wholesale operator, and whose management has been ceded, in turn, to third parties linked to the property owners of the land.  </w:t>
        <w:br/>
        <w:t xml:space="preserve">- Number of the above that had exclusive fuel supply contracts lasting more than 5 years during the indicated period. It is understood that contracts that include clauses for tacit renewal after 5 years and those with the possibility of extension to meet a sales target also exceed this duration.  </w:t>
        <w:br/>
        <w:t xml:space="preserve">- "Attackable share" of its network and of the total market in the geographical area of reference, calculated as the quotient between the number of service stations in its network in the CODO-Lease and DODO modalities and the total number of service stations in its network (See File 2575/04 DISA CANARIAS).  </w:t>
        <w:br/>
        <w:t>This was answered on March 30, 2012 (folios 154 to 177).</w:t>
      </w:r>
    </w:p>
    <w:p>
      <w:r>
        <w:t xml:space="preserve">Regarding the reported facts  </w:t>
        <w:br/>
        <w:t xml:space="preserve">1. The parties  </w:t>
        <w:br/>
        <w:t xml:space="preserve">Defendant: CHEVRON ESPAÑA, SLU  </w:t>
        <w:br/>
        <w:t xml:space="preserve">On December 11, 1933, the entity "The Texas Company S.A.E." was established, through a deed granted in Las Palmas de Gran Canaria. In 1971 it was renamed "Texaco Canarias, S.A.", and on August 9, 1988, it changed its name to Texaco Petrolífera, S.A. Currently, Texaco Petrolífera has changed its name to "Chevron España, S.L.", with CIF and registered office at Avenida de las Petrolíferas s/n in the municipality of Las Palmas de Gran Canaria.  </w:t>
        <w:br/>
        <w:t xml:space="preserve">Complainant: COOPERATIVE OF TAXI ENTREPRENEURS OF TELDE  </w:t>
        <w:br/>
        <w:t xml:space="preserve">This is a Transport Cooperative Society established in May 1990, located in Telde.  </w:t>
        <w:br/>
        <w:t xml:space="preserve">2. Description of the reported contract  </w:t>
        <w:br/>
        <w:t>7. On July 1, 1997, the Cooperative and Texaco signed a distribution and supply contract for petroleum products, with an initial duration of 7 years. On May 20, 1999, an annex was signed extending the duration until June 30, 2009, in exchange for the delivery of new amounts of money for the acquisition of land for the expansion of the facilities. The</w:t>
      </w:r>
    </w:p>
    <w:p>
      <w:r>
        <w:rPr>
          <w:b/>
        </w:rPr>
        <w:t>[Pages 4–6]</w:t>
      </w:r>
    </w:p>
    <w:p>
      <w:r>
        <w:t>On September 30, 2003, another annex to the contract was signed, which extended the contract for 10 years, provided a new fuel dispenser and another amount of money intended for improvements in the facilities, and established the previously indicated minimum volumes.</w:t>
      </w:r>
    </w:p>
    <w:p>
      <w:r>
        <w:t>8. The contract states that THE COOPERATIVE, in exchange for financing for improvements and expansions of the station and the loan of necessary equipment (which becomes the property of the station at the end of the contract), commits to acquiring the following minimum volumes of product:</w:t>
        <w:br/>
        <w:t>a. Year 1: minimum volume of 2,800,000 liters of fuel (gasoline or diesel, interchangeably).</w:t>
        <w:br/>
        <w:t>b. Subsequent years: minimum volume equivalent to 80% of the previous year's consumption (of fuels and lubricants). If it is less than 2,400,000 liters, TEXACO may terminate the contract and demand compensation.</w:t>
        <w:br/>
        <w:t>c. Total volume over 10 years: 28,000,000 liters of fuel. If this has not been reached, the contract would be extended until it is achieved.</w:t>
      </w:r>
    </w:p>
    <w:p>
      <w:r>
        <w:t>9. There is no non-competition clause in the contract. At no point in the contract is there a reference that the product must be acquired exclusively, but rather it refers to "acquiring on a regular basis." There is also no reference in the contract to the branding and image of the station.</w:t>
      </w:r>
    </w:p>
    <w:p>
      <w:r>
        <w:t>10. Regarding the penalty reported at the outset, on February 7, 2012, THE COOPERATIVE states that the penalty they referred to was that included in the contract in case of not acquiring the established minimum annual quantities and that TEXACO is the only brand displayed at the service station (folios 110 to 137).</w:t>
      </w:r>
    </w:p>
    <w:p>
      <w:r>
        <w:t>3. Characteristics of the market</w:t>
        <w:br/>
        <w:t>In the proposal for filing raised by the Directorate of Investigation, the following description of the market in which the conduct is framed is made:</w:t>
        <w:br/>
        <w:t>(18) Regarding the market affected by the reported conduct, national and community precedents (National Files: C-86/04 DISA/SHELL, C-0005/07 DISA/TOTAL (Assets), C-0116/08 Saras Energía/ERG Petróleos (Assets), C-0301/10 DISA/Assets BP, C-366/11 CEPSA/CHESA. Community cases M.1383 Exxon/Mobil, M.1628 TotalFina/Elf Aquitaine, M.2389 SHELL/DEA, M.3291 Preem/Skandinaviska Raffinaderi, M.5169 GALP Energía España/Agip España, M.5637 Motor Oil (Hellas) Corinth Refineries/SHELL Overseas Holding, M.5781 TOTAL Holdings Europe SAS/ERG SPA/JV have defined the market for the retail distribution of automotive fuels as the retail sale of automotive fuels (gasolines and diesel) to motorists at service stations, gas stations, and dispensers, whether or not integrated into the retail sales network of the supplying oil company.</w:t>
      </w:r>
    </w:p>
    <w:p>
      <w:r>
        <w:t>(19) From a geographical point of view, the retail market for automotive fuel distribution through service stations is characterized by a local component in that the demand is made up of motorists who typically refuel at service stations close to their center of activity, so the substitutability between service stations is geographically limited. However, on the other hand, there is usually some overlap between the areas of influence of service stations that not only affects competitive interactions between nearby points of sale but also creates, to some extent, a "chain substitution effect" at more distant stations. Consequently, the geographical area to be considered from a competition perspective may include various overlapping areas.</w:t>
      </w:r>
    </w:p>
    <w:p>
      <w:r>
        <w:t>(20) On the other hand, from the supply side, important competitive parameters such as sourcing, product quality, service level, advertising and promotion, and, at times, price levels are decided on a national or regional basis, not at the local level.</w:t>
      </w:r>
    </w:p>
    <w:p>
      <w:r>
        <w:t>(21) These factors have led competition authorities to indicate that "the determination of the national geographical market reference must be made without prejudice to the geographical particularities" in the Canary Islands, Balearic Islands, Ceuta, and Melilla.</w:t>
      </w:r>
    </w:p>
    <w:p>
      <w:r>
        <w:t>(22) For the purposes of this file, in response to the information request sent by this Directorate, TEXACO states that it has 64 service stations, all located in the Canary Archipelago, with an estimated market share of 14.5% in that geographical market. Specifically, in the period 2008-2011, it had 28 DODO and no CODO-Superficie lease, and none of the contracts with these service stations had a duration of more than 5 years. Finally, it estimates that the attackable share in the Canary Islands amounts to 45%, very similar to the attackable share in the specific case of TEXACO, which would be equivalent to 43.75%.</w:t>
      </w:r>
    </w:p>
    <w:p>
      <w:r>
        <w:t>Assessment of the Directorate of Investigation</w:t>
        <w:br/>
        <w:t>(23) The infringement of the LDC that the reported contract would incur, according to the complainant, refers to its duration, and in particular to the alleged exclusivity of supply, to the extent that it would exceed the maximum of 5 years established by community regulations for contracts containing non-competition clauses.</w:t>
      </w:r>
    </w:p>
    <w:p>
      <w:r>
        <w:t>(24) Although the contract does not expressly include any non-competition clause, according to the complainant, it would be a concealed exclusivity, due to the fact that the minimum quantities required are high enough to prevent purchases from other suppliers.</w:t>
      </w:r>
    </w:p>
    <w:p>
      <w:r>
        <w:t>(25) The contract establishes the obligation to acquire each year 80% of the quantity acquired the previous year, although it also establishes the possibility for TEXACO to terminate the contract, with the penalties provided, in case the service station acquires annual quantities lower than 2,400,000 liters, thus, de facto, this would be the minimum annual amount required.</w:t>
      </w:r>
    </w:p>
    <w:p>
      <w:r>
        <w:t>(26) The complainant provides the annual quantities acquired since the station's opening to the public, and in no case is the aforementioned figure reached, which could lead to the conclusion that, despite the contract not containing any exclusivity clause, fulfilling the quantities established in the contract could hinder access to alternative supplies.</w:t>
      </w:r>
    </w:p>
    <w:p>
      <w:r>
        <w:t>(27) Furthermore, although it is not included in the contract, nor has the complainant provided any additional documentation in this regard, despite being expressly requested, the only image appearing at the affected service station is that of TEXACO (see pages 118 and 119, which contain photographs of the service station), which, as indicated by the complainant, would represent a limitation to sell products from other companies.</w:t>
      </w:r>
    </w:p>
    <w:p>
      <w:r>
        <w:t>(28) Finally, regarding the duration, according to the last of the annexes, the contract would be extended for 10 years, although the obligation to acquire a total quantity of product throughout its duration could extend the contract indefinitely, until compliance is achieved.</w:t>
      </w:r>
    </w:p>
    <w:p>
      <w:r>
        <w:t>(29) In conclusion, it seems that, despite the contract not expressly stating it, it could be a contract for exclusive supply and branding (DODO model), with a duration exceeding 5 years, which would not be covered by the aforementioned Regulation on the exemption of certain categories of vertical agreements, as it involves a non-competition clause lasting more than 5 years.</w:t>
      </w:r>
    </w:p>
    <w:p>
      <w:r>
        <w:t>(30) This agreement could also not be covered by the de minimis rule (Commission Communication regarding agreements of minor importance that do not significantly restrict competition in the sense of paragraph 1 of Article 81 of the Treaty establishing the European Community), considering TEXACO's market share in the Canary Archipelago, which is above 5% (14.5%), as competition in this market is restricted by the cumulative exclusion effect produced by parallel networks of agreements covering 55% of the market, with the attackable share in the Canary Islands, according to TEXACO, being 45%.</w:t>
      </w:r>
    </w:p>
    <w:p>
      <w:r>
        <w:t>(31) However, according to the information provided by TEXACO, there would be no other contracts with similar characteristics in TEXACO's distribution network, so, in line with national and community precedents and existing jurisprudence, what needs to be assessed is whether the reported contract could pose a risk to the development of effective competition in the retail distribution market for fuels in the Canary Islands, which could constitute an infringement of Article 1 of the LDC and the current Article 101 of the Treaty on the Functioning of the European Union.</w:t>
      </w:r>
    </w:p>
    <w:p>
      <w:r>
        <w:rPr>
          <w:b/>
        </w:rPr>
        <w:t>[Pages 7–9]</w:t>
      </w:r>
    </w:p>
    <w:p>
      <w:r>
        <w:t>(32) The Delimitis judgment (Case C-234/89 Stergios Delimitis v Henninger Bräu AG) interprets that in order to determine the capacity of a contract to significantly affect competition, two cumulative requirements must be met. First, it is necessary that, given the economic and legal context of the contract, the relevant market is hardly accessible to competitors. Second, it is necessary that the disputed contract contributes significantly to the market closure produced by the set of similar contracts that have a cumulative effect on the functioning of competition, in its economic and legal context.</w:t>
      </w:r>
    </w:p>
    <w:p>
      <w:r>
        <w:t>(33) Regarding the first of these requirements, the Resolution of the Council of the CNC in file 2575/04 DISA CANARIAS concluded that “given the highly impregnable nature of the mainland retail fuel market due to the fact that 80% of service stations are linked to an operator, practically half of the service stations in the Canary market (45%) are free in the sense of being accessible to competition.”</w:t>
      </w:r>
    </w:p>
    <w:p>
      <w:r>
        <w:t>(34) Although current data shows a lower linked quota on the mainland than at that time, the quota in the Canary Islands remains at the same level, so the conclusions reached in that file regarding the fact that practically half of the service stations in the Canary market are free in the sense of being accessible to competition would still fully apply. For its part, the attackable quota of TEXACO, which would amount to 43.75% (calculated as the quotient between the number of DODO service stations (28) and the total number of service stations in its network (64)), remains at similar values to the average in the Canary Islands, so nearly half of the stations in its network would be susceptible to being attacked by competition.</w:t>
      </w:r>
    </w:p>
    <w:p>
      <w:r>
        <w:t>(35) As for the second requirement (to what extent the analyzed contract contributes to the cumulative effect produced by exclusive purchasing networks), the importance of the contract's contribution depends on the position of the contracting parties in the affected market and the duration of the contract. Thus, although TEXACO is the third operator in the Canary Islands, with a market share in the Canary retail market of 14.5% (with the conclusion of the CEPSA/CHESA concentration operation, the share will rise to 18%), the combined share of the two operators positioned in first place exceeds 60% (according to the report and resolution proposal of the Directorate of Investigation in file C/0366/11 CEPSA/CHESA), so its relative weight is moderate. In the hypothesis that the contract were to be resolved, the attackable quota in the Canary Islands would practically remain unchanged (it would only increase by 0.3%). Therefore, it could be concluded that its contribution to the cumulative effect is minimal or negligible, in line with what was indicated in the resolution of file 2575/04 DISA CANARIAS (where the increase in the attackable quota in the Canary Islands due to the termination of contracts was 1%).</w:t>
      </w:r>
    </w:p>
    <w:p>
      <w:r>
        <w:t>(36) In light of the above, taking into account the legal and economic context in which the analyzed conduct is framed, it can be considered that the requirements for the application of the provisions of Article 3.1 of the RDC, regarding other conduct of lesser importance, are met for the analyzed contract, which, situated in its legal and economic context, is very unlikely to contribute significantly to the market closure produced by a set of similar contracts.</w:t>
      </w:r>
    </w:p>
    <w:p>
      <w:r>
        <w:t>(37) The rule of lesser importance contained in this regulatory provision has already been applied by the Council of the CNC in several of the previously cited files: R 691 DISA, 2740/06 TOTAL, 2739/06 AGIP, and 2575/04 DISA CANARIAS.</w:t>
      </w:r>
    </w:p>
    <w:p>
      <w:r>
        <w:t>(38) Finally, it should be noted that, as the complainant reported in their withdrawal request, the disputed contract has been terminated, having reached, according to the complainant, a new supply agreement, with the signing of a new contract.</w:t>
      </w:r>
    </w:p>
    <w:p>
      <w:r>
        <w:t xml:space="preserve">11. Consequently, the report proposal submitted to the Council of the CNC on April 23, 2012, proposes that:  </w:t>
        <w:br/>
        <w:t>“Therefore, in accordance with the provisions of Article 49.3 of Law 15/2007, of July 3, on the Defense of Competition, it is proposed not to initiate the sanctioning procedure, as well as to archive the proceedings followed as a result of the complaint filed by the Cooperative of Taxi Entrepreneurs of Telde against Texaco Petrolífera, S.A., considering that the complainant has withdrawn their complaint and that, in any case, Article 3 of the Competition Defense Regulation on conduct of lesser importance applies.”</w:t>
      </w:r>
    </w:p>
    <w:p>
      <w:r>
        <w:t xml:space="preserve">12. The Council deliberated and issued this resolution on July 26, 2010.  </w:t>
        <w:br/>
        <w:t xml:space="preserve">LEGAL GROUNDS  </w:t>
        <w:br/>
        <w:t xml:space="preserve">SOLE.- The Council must, in this resolution, assess whether the requirements for the application of Article 49.3 of the LDC are met in this case, in order to, as proposed by the Directorate of Investigation, resolve to archive the proceedings carried out so far regarding the reported facts.  </w:t>
        <w:br/>
        <w:t xml:space="preserve">The Council shares both the conclusions regarding the content of the contract subject to the complaint, concerning the possible competitive restrictions that would de facto arise from its application, as well as its assessment regarding the lack of significant contribution to the competitive distortion of the market. Indeed, although the literal wording of the contract does not require exclusivity of supply, the other minimum conditions of annual sales and use of the brand logo in the facilities could materially convert it into an exclusive supply contract lasting more than 5 years, so it would not be covered by the exemption provided for in the regulation on vertical restrictions (Regulation (EC) No. 2790/1999 of the Commission, of December 22, 1999). However, even though the Texaco group's share exceeds 5% of the limit for the application of Article 1.d) RDC, when this single contract is analyzed in a context where the share of the contestable market is over 45%, it cannot be appreciated that it contributes significantly to the closure of the retail distribution market for petroleum products, and consequently, the archiving of the sanctioning proceedings carried out so far is appropriate.  </w:t>
        <w:br/>
        <w:t xml:space="preserve">For all the above reasons, in view of the cited provisions and other generally applicable provisions, this Council  </w:t>
        <w:br/>
        <w:t xml:space="preserve">HAS RESOLVED  </w:t>
        <w:br/>
        <w:t xml:space="preserve">SOLE.- On the basis of Article 49.3 of Law 15/2007 on the Defense of Competition, not to initiate a sanctioning procedure and to archive the proceedings followed in file S/369/11 TEXACO.  </w:t>
        <w:br/>
        <w:t>This Resolution shall be communicated to the Directorate of Investigation of the National Competition Commission and notified to the accused and the complainant,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