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https://www.cnmc.es/expedientes/s038211</w:t>
      </w:r>
    </w:p>
    <w:p>
      <w:r>
        <w:t>Pages translated : 9</w:t>
      </w:r>
    </w:p>
    <w:p/>
    <w:p>
      <w:r>
        <w:rPr>
          <w:b/>
        </w:rPr>
        <w:t>[Pages 1–3]</w:t>
      </w:r>
    </w:p>
    <w:p>
      <w:r>
        <w:t>CNC</w:t>
        <w:br/>
        <w:t>NATIONAL COMPETITION COMMISSION</w:t>
        <w:br/>
        <w:t>RESOLUTION</w:t>
        <w:br/>
        <w:t>File S/0382/11, Lafarge 2</w:t>
        <w:br/>
        <w:t>Council</w:t>
        <w:br/>
        <w:t>Mr. Joaquín García Bernaldo de Quirós, President</w:t>
        <w:br/>
        <w:t>Ms. Pilar Sánchez Núñez, Vice President</w:t>
        <w:br/>
        <w:t>Mr. Julio Costas Comesaña, Councilor</w:t>
        <w:br/>
        <w:t>Ms. María Jesús González López, Councilor</w:t>
        <w:br/>
        <w:t>Ms. Inmaculada Gutiérrez Carrizo, Councilor</w:t>
        <w:br/>
        <w:t>Mr. Luis Diez Martín, Councilor</w:t>
        <w:br/>
        <w:t>In Madrid, on June 14, 2012</w:t>
        <w:br/>
        <w:t>The Council of the National Competition Commission, with the composition expressed and being the Rapporteur Councilor Mr. Julio Costas Comesaña, has issued the following Resolution in the reserved information file, initiated ex officio by the Investigation Directorate of the National Competition Commission following the complaint filed by [...] against LAFARGE ÁRIDOS y HORMIGONES SAU, TRANS-LLANI SL, and GRAVILLAS SANTA CRUZ SA, for alleged conduct prohibited by Law 15/2007, of July 3, on the Defense of Competition, consisting of an alleged agreement on price fixing and market sharing in the area of concrete transportation in Castilla-La Mancha.</w:t>
      </w:r>
    </w:p>
    <w:p>
      <w:r>
        <w:t>FACTUAL BACKGROUND</w:t>
        <w:br/>
        <w:t>1. On October 7, 2009, a complaint was received in the Investigation Directorate (DI) of the National Competition Commission (CNC) from [...] against LAFARGE ÁRIDOS y HORMIGONES, S.A.U. (hereinafter, LAFARGE), TRANS-LLANI S.L., and GRAVILLAS SANTA CRUZ, S.A., leading to file S/252/10 LAFARGE. The reported facts consist of an alleged price fixing and market sharing in the area of concrete transportation in Castilla-La Mancha, as well as a possible agreement among concrete supplying companies to divide the supply market.</w:t>
      </w:r>
    </w:p>
    <w:p>
      <w:r>
        <w:t>2. On January 27, 2011, in application of Article 1 of Law 1/2002, of February 21, on the Coordination of the Competences of the State and the Autonomous Communities, it was determined that the Regional Competition Commission of Castilla-La Mancha was the competent body to address the complaint regarding the alleged price fixing and market sharing in the area of concrete transportation in Castilla-La Mancha as a consequence of an agreement between LAFARGE and TRANS-LLANI, therefore proceeding to separate the information related to these behaviors from the reserved actions file S/252/10 for its referral to the competent regional competition authority.</w:t>
      </w:r>
    </w:p>
    <w:p>
      <w:r>
        <w:t>3. On July 28, 2011, the CNC Council resolved not to initiate sanctioning proceedings and to archive the actions followed in file S/252/10 due to the lack of evidence of infringement of Law 15/2007, of July 3, on the Defense of Competition (LDC), in relation to the possible agreement among concrete supplying companies to divide the market.</w:t>
      </w:r>
    </w:p>
    <w:p>
      <w:r>
        <w:t>4. On October 11, 2011, a letter was received from the General Secretariat of the Ministry of Economy and Finance of Castilla-La Mancha informing of the abolition of the Regional Competition Commission by Decree 177/2011, of July 14, and transferring to this Directorate file 14/2011 LAFARGE, whose origin is the information previously separated from file S/252/10 and sent to the authority of Castilla-La Mancha.</w:t>
      </w:r>
    </w:p>
    <w:p>
      <w:r>
        <w:t>5. On October 28, 2011, it was agreed to initiate procedure S/0382/11 LAFARGE 2, incorporating all actions taken within the framework of file 14/2011, and the information requested from LAFARGE on November 21, 2011.</w:t>
      </w:r>
    </w:p>
    <w:p>
      <w:r>
        <w:t>6. In accordance with the Proposal for Archiving from the DI dated December 16, 2011, submitted to this Council of the National Competition Commission, along with all actions taken, in accordance with the provisions of Article 49.3 of the LDC:</w:t>
        <w:br/>
        <w:t>6.1. Reported Parties</w:t>
        <w:br/>
        <w:t>LAFARGE ÁRIDOS y HORMIGONES SAU is a Spanish subsidiary of LAFARGE, a multinational active worldwide in the production of construction materials, which began its activity as Readymix Asland adopting its current name in 2006 (www.lafarge.com.es). In Ciudad Real, LAFARGE has 10 concrete manufacturing plants, 2 aggregate plants, and one mortar plant. LAFARGE estimates its current market share in the concrete supply market in Ciudad Real at [30-40] % and [10-20] % in the industrial mortars supply market. In the narrower markets of wet industrial mortars, LAFARGE estimates its share at [10-20] %, and in dry and special industrial mortars at [20-30] % (pages 238 and 239). GRAVILLAS SANTA CRUZ SA was a company of the GLA Group that was acquired by LAFARGE in the operation that led to concentration file C-0052/08. It currently appears as a dissolved company in several business directories (including www.einforma.com and www.informacion-empresas.com). TRANS-LLANI SL is a company dedicated to the transportation of construction materials, located in Pozuelo de Calatrava (Ciudad Real).</w:t>
      </w:r>
    </w:p>
    <w:p>
      <w:r>
        <w:t>6.2. About the affected market</w:t>
        <w:br/>
        <w:t>The reported facts occur in the market for transportation services of construction materials, particularly concrete and mortar, in the province of Ciudad Real (See the RCNC of March 13, 2008, File C-0052/08 LAFARGE/GLA GROUP, and the document "Cost Study of Concrete Transport Companies in the Community of Madrid" published by ATRADICE, Association of Transport Companies of the Central Region). Concrete is a construction material derived from cement and obtained by mixing this product with aggregates, water, and additives. Both community and Spanish authorities have considered in their analyses that the maximum distance for the supply of ready-mixed concrete from the manufacturing plant to the point of use is limited. Therefore, the ready-mixed concrete market has been defined as basically local. The transportation of concrete from the manufacturing plant to the construction site is the responsibility of the concrete plant, which offers the product to its clients—the construction companies—on-site. The processing plant agrees with the construction company on the type of product, quantity, location, and timing of delivery. Given that concrete loses its qualities after a period of time ranging from one and a half hours to one hour and three-quarters from its production, the vehicle must be ready for transport at the indicated time. This just-in-time system means that transporters are usually assigned to a specific plant to ensure their availability, which limits the transporter's ability to allocate their assets to the tasks that are most profitable at any given moment. Additionally, it is common for the processing company to require the transporter to label their concrete mixer vehicles with their distinctive signs. According to the ATRADICE report regarding this sector, another peculiarity is the way prices are set, which are imposed by the processing plants in a quasi-contractual adhesion relationship by the transporter. Mortar is a construction material obtained from the mixture of a binder (mainly cement, although sometimes lime), sand, and water, which serves, among other purposes, to bond the stones or bricks that make up the works, as well as for plastering or rendering. According to existing precedents, the maximum distance for its supply from the factory to the point of use is approximately 120 kilometers, so the relevant geographic market is also provincial or regional. Although the complainant claims that LAFARGE's dominance in the production of concrete and mortar in Ciudad Real is clear, there is at least one competitor of similar size (CEMEX). According to CEMEX's website, it has 7 concrete manufacturing plants, 4 aggregate plants, and 1 mortar plant in Ciudad Real.</w:t>
      </w:r>
    </w:p>
    <w:p>
      <w:r>
        <w:rPr>
          <w:b/>
        </w:rPr>
        <w:t>[Pages 4–6]</w:t>
      </w:r>
    </w:p>
    <w:p>
      <w:r>
        <w:t>CNC</w:t>
        <w:br/>
        <w:t>NATIONAL COMPETITION COMMISSION</w:t>
        <w:br/>
        <w:t>The following table shows LAFARGE's estimation of its market share and that of its main competitors in the concrete supply market of Ciudad Real (page 238):</w:t>
      </w:r>
    </w:p>
    <w:p>
      <w:r>
        <w:t>2009 2010 2011</w:t>
        <w:br/>
        <w:t>LAFARGE [20-40] [20-40] [20-40]</w:t>
        <w:br/>
        <w:t>HORMICEMEX [10-20] [10-20] [10-20]</w:t>
        <w:br/>
        <w:t>G I CASA [0-10] [0-10] [0-10]</w:t>
        <w:br/>
        <w:t>HNOS. LÓPEZ [0-10] [0-10] [0-10]</w:t>
      </w:r>
    </w:p>
    <w:p>
      <w:r>
        <w:t>Source:</w:t>
        <w:br/>
        <w:t>Lafarge</w:t>
      </w:r>
    </w:p>
    <w:p>
      <w:r>
        <w:t>LAFARGE estimates its market share in the mortar supply market for the years 2009, 2010, and 2011 at [15-30] %, [15-30] %, and [15-30] % respectively. It does not provide estimates of its competitors' shares in this market.</w:t>
      </w:r>
    </w:p>
    <w:p>
      <w:r>
        <w:t>6.3. The reported facts</w:t>
        <w:br/>
        <w:t>The complainant has been providing concrete transport services for LAFARGE (formerly known as Readymix Asland, S.A.) since 1990, first as an employee of the company and since 1997, as a self-employed individual. In particular, in 1997 Readymix Asland promoted that a portion of its employees, prior to the termination of their employment relationship, purchase from the company itself, using the compensation received, the concrete mixer trucks, in order to provide concrete transport services to their former employer on their own account. To incentivize this change, Readymix committed to guarantee them a volume of work for an indefinite period "unless unforeseen circumstances or force majeure" (page 17).</w:t>
      </w:r>
    </w:p>
    <w:p>
      <w:r>
        <w:t>The relationship between the "reconverted self-employed" transporters and LAFARGE detailed in the complaint corresponds to the general description of the market made in the cited ATRADICE Report: each vehicle is assigned to a specific production plant to which it provides exclusive services, must be identified with the logos and corporate colors of the loader (Readymix/LAFARGE in this case), and the loader decides each day the priority and order of the loads. Also, the method of price setting and negotiation of contracts corresponds to what appear to be the practices throughout the sector: the complainant points out that the contracts signed between LAFARGE and the transporters are adhesion contracts, of annual duration tacitly extendable for another year, and the price is unilaterally set by LAFARGE.</w:t>
      </w:r>
    </w:p>
    <w:p>
      <w:r>
        <w:t>On April 1, 2008, LAFARGE acquired exclusive control of the GLA Group. Among the companies acquired in this operation was GRAVILLAS SANTA CRUZ, SL. (GSC). This company had a significant fleet of 18 concrete mixer trucks that were transferred, along with 16 drivers, to the company TRANS-LLANI by contract dated October 31, 2008.</w:t>
      </w:r>
    </w:p>
    <w:p>
      <w:r>
        <w:t>CNC</w:t>
        <w:br/>
        <w:t>NATIONAL COMPETITION COMMISSION</w:t>
        <w:br/>
        <w:t>On the same date, LAFARGE signed a commercial transport contract with TRANS-LLANI by which it leased the concrete and mortar transport services under the following conditions: the services were to be provided exclusively with the vehicles acquired from GSC, "being able to allocate the rest of its fleet to serve third parties" (page 99); the vehicles acquired from GSC were to carry the insignia and commercial brand of LAFARGE and could not be used to serve other companies, except with prior written authorization from LAFARGE; the duration of the contract was 5 years, extendable. Finally, the contract contained an additional clause stating that TRANS-LLANI would have "priority and/or preference in the territorial scope of action that is its own and this during the validity of this contract" (page 102).</w:t>
      </w:r>
    </w:p>
    <w:p>
      <w:r>
        <w:t>On March 12, 2009, LAFARGE sent a letter to the transporters who had been serving it, informing them that "due to the significant decline that our sales of concrete and mortars have been suffering for reasons that are public and notorious and that in no way depend on the will of this company, it is completely impossible to maintain the commercial transport relationship that you have been providing for this company" (page 162).</w:t>
      </w:r>
    </w:p>
    <w:p>
      <w:r>
        <w:t>The complainant believes that the reason given for terminating the contract was false, the true cause being that LAFARGE had committed to contracting those services with TRANS-LLANI by virtue of the transfer operation of the vehicles from GSC. As evidence, it provides LAFARGE delivery notes for transports carried out in May 2009 with TRANS-LLANI vehicles (pages 65 to 77). It also points out that after April 1, 2009, LAFARGE contracted third parties other than TRANS-LLANI (albeit at the same price agreed with it) to meet its supply commitments and that on occasions TRANS-LLANI has been forced to subcontract third parties to fulfill the services requested by LAFARGE, also at the same price (page 14).</w:t>
      </w:r>
    </w:p>
    <w:p>
      <w:r>
        <w:t>According to the complainant, with the simultaneous signing of the two contracts between LAFARGE/GSC and TRANS-LLANI (for the transfer of the vehicles and for the leasing of transport services), "we find ourselves under a system that, under the condition of acquiring vehicles, evidences the division of the transport market in the province of Ciudad Real" (page 90). Thus, LAFARGE would have managed to "rid itself of its self-employed transporters and monopolize all concrete transport with a single supplier, unilaterally setting the price of that service as the loader with the largest market share in Ciudad Real capital and province" (page 15).</w:t>
      </w:r>
    </w:p>
    <w:p>
      <w:r>
        <w:t>7. The Council of the National Competition Commission deliberated on the Proposal for Archiving and issued this Resolution in its meeting of June 6, 2012.</w:t>
      </w:r>
    </w:p>
    <w:p>
      <w:r>
        <w:t>LEGAL GROUNDS</w:t>
      </w:r>
    </w:p>
    <w:p>
      <w:r>
        <w:t>CNC</w:t>
        <w:br/>
        <w:t>NATIONAL COMPETITION COMMISSION</w:t>
        <w:br/>
        <w:t>First.- Purpose of the Resolution</w:t>
        <w:br/>
        <w:t>Agreed upon the Abolition of the Regional Competition Commission by Decree 177/2011, of July 14, in accordance with the provisions of the Sole Transitional Provision of Law 1/2002, of February 21, on the Coordination of the Competences of the State and the Autonomous Communities in matters of Competition Defense, it is the responsibility of the National Competition Commission to exercise the executive competence over the facts reported and investigated in this reserved information file.</w:t>
      </w:r>
    </w:p>
    <w:p>
      <w:r>
        <w:t>Article 49.1 of the LDC provides that the investigating body will initiate sanctioning proceedings when it observes rational indications of the existence of prohibited conduct in articles 1, 2, and 3 of the Law. In number 3 of the same legal provision, it is added that the Council, at the proposal of the investigating body, will agree not to initiate sanctioning proceedings and, consequently, the archiving of the actions carried out when it considers that there are no indications of infringement.</w:t>
      </w:r>
    </w:p>
    <w:p>
      <w:r>
        <w:t>In its Proposal of February 1, 2012, the Directorate of Investigation proposes to this Council, in accordance with the provisions of article 49.3 of the LDC, not to initiate the sanctioning proceedings, as well as to archive the actions that led to the opening of this reserved information S/0382/11, for not observing in the information gathered indications of infringement of the aforementioned Law.</w:t>
      </w:r>
    </w:p>
    <w:p>
      <w:r>
        <w:t>Therefore, the purpose of this Resolution is to determine whether the Proposal for Archiving formulated by the Directorate of Investigation is in accordance with the Law.</w:t>
      </w:r>
    </w:p>
    <w:p>
      <w:r>
        <w:t>Second.- Absence of indications of infringement of the collusive conduct reported</w:t>
        <w:br/>
        <w:t>The complainant accuses LAFARGE and TRANS-LLANI of an infringement of article 1 of the LDC, consisting of an agreement to divide the concrete transport market and set its price in the province of Ciudad Real.</w:t>
      </w:r>
    </w:p>
    <w:p>
      <w:r>
        <w:t>Article 1 of the LDC prohibits any agreement that has as its object, produces, or may produce the effect of preventing, restricting, or distorting competition.</w:t>
      </w:r>
    </w:p>
    <w:p>
      <w:r>
        <w:t>The conduct analyzed by the Directorate of Investigation is a commercial agreement between LAFARGE and TRANS-LLANI, whose object is the provision of transport services for construction materials in Ciudad Real. Under this agreement, TRANS-LLANI is obliged to make available to LAFARGE certain vehicles from its fleet that, unless consented by the client, cannot be used to serve third parties for 5 years. LAFARGE, for its part, commits to give priority and/or preference in the contracting of transport services to TRANS-LLANI.</w:t>
      </w:r>
    </w:p>
    <w:p>
      <w:r>
        <w:t>According to the complainant, this agreement would have the effect of setting a single reference price for concrete transport in Ciudad Real, as well as the division of</w:t>
      </w:r>
    </w:p>
    <w:p>
      <w:r>
        <w:rPr>
          <w:b/>
        </w:rPr>
        <w:t>[Pages 7–9]</w:t>
      </w:r>
    </w:p>
    <w:p>
      <w:r>
        <w:t xml:space="preserve">CNC  </w:t>
        <w:br/>
        <w:t xml:space="preserve">NATIONAL COMPETITION COMMISSION  </w:t>
        <w:br/>
        <w:t xml:space="preserve">market in that province, placing competitors at a clear disadvantage in relation to the carrier TRANS-LLANI.  </w:t>
        <w:br/>
        <w:t xml:space="preserve">However, the Council agrees with the Directorate of Investigation that this agreement is not objectively anticompetitive: it is a commercial contract in which the parties, exercising their freedom and capacity to contract, agree on the provision of certain services in exchange for a price. The limitations imposed on the transport company regarding the use it can give to the vehicles committed to LAFARGE are common in the sector and are justified by the technical characteristics of the products to be transported, which are highly perishable, and the need to deliver them at the precise moment agreed upon between LAFARGE and its end customers.  </w:t>
        <w:br/>
        <w:t xml:space="preserve">Having ruled out that the agreement is anticompetitive by object, it could still fall within the scope of Article 1 of the LDC if it could have the effect of distorting competition conditions. In this regard, the Directorate of Investigation emphasizes that the agreement does not establish an exclusive relationship between the parties: LAFARGE can, and has done so, hire carriers other than TRANS-LLANI, and the latter is free to provide services to other concrete manufacturers with the rest of its fleet. That is to say, the contract signed between the parties does not imply a market division or the automatic exclusion of other carriers from exercising their activity. In fact, the services contracted by LAFARGE with TRANS-LLANI since October 2009 account for less than [20-30]% of the total concrete and mortar transport services contracted by LAFARGE in the province of Ciudad Real during this period, which proves that there have been no exclusion effects as a result of the service provision contract signed between both companies.  </w:t>
        <w:br/>
        <w:t xml:space="preserve">The Council shares the previous legal assessment of the Directorate of Investigation, as well as the fact that the preferential hiring of TRANS-LLANI by LAFARGE is covered by the principle of freedom of contract. LAFARGE is not legally obliged to call for a tender or to contract with all those carriers who request it and meet certain requirements. Furthermore, there are economic reasons that justify LAFARGE's interest in contracting with TRANS-LLANI rather than with other carriers, as explained by the complainant herself: in the event of non-payment of the deferred price by TRANS-LLANI in the purchase of the vehicles, LAFARGE would be obliged to reinstate the 16 drivers linked to them, under Article 44 of the Workers' Statute, which is why it is in LAFARGE's interest that the transport company has sufficient activity. As the European Commission states in its Communication Guidelines on Priorities in the Application of the Current Article 102 of the TFEU of December 5, 2008: "in general terms, any company, whether dominant or not, must have the right to choose with whom it trades and to freely dispose of its property" (paragraph 74).  </w:t>
        <w:br/>
        <w:t xml:space="preserve">The complainant also claims that, as a result of this contract, the price agreed upon by the defendants has been established as the reference price in the province of Ciudad Real, given that LAFARGE has a dominant position in this area. However, as noted in the complaint, LAFARGE had been paying the same price to all the carriers it contracted directly, as it used adhesion contracts. Therefore, if the price set by LAFARGE is used as a reference in the sector (a matter that has not been proven by the complainant either), it is not as a consequence of the reported agreement, but had already been occurring previously as a result of the market structure. In any case, nothing prevents other construction materials manufacturers and carriers from agreeing on different prices for these services.  </w:t>
        <w:br/>
        <w:t xml:space="preserve">In conclusion, the Council agrees with the Directorate of Investigation in not finding indications of restrictive competition conduct prohibited by Article 1 of the LDC in the contract signed between LAFARGE and TRANS-LLANI.  </w:t>
        <w:br/>
        <w:t xml:space="preserve">Third. Absence of indications of infringement of abuse of dominant position  </w:t>
        <w:br/>
        <w:t xml:space="preserve">- Although the complaint is based on an infringement of Article 1 of the LDC, since a supposed dominant position of LAFARGE in the concrete market in Ciudad Real is repeatedly alleged, the Directorate of Investigation analyzed whether the facts described in Background of Fact (AH) 6.3 could constitute an infringement of Article 2 of the same LDC, which prohibits the abusive exploitation, by one or more companies, of their dominant position in all or part of the national market.  </w:t>
        <w:br/>
        <w:t xml:space="preserve">A fundamental prerequisite for appreciating that there is an infringement of Article 2 of the LDC is the existence of a dominant position of the infringer. The complainant has not proven that LAFARGE has a dominant position in the markets for concrete and mortar supply in the province of Ciudad Real, and from the estimated shares provided by the defendant - which are consistent with those submitted in the context of concentration file C-0052/08 - it can be deduced that there are other operators (HORMICEMEX, GICASA, and HNOS. LÓPEZ) with sufficient entity to exert competitive pressure that allows ruling out the possibility of independent action by LAFARGE in these markets (AH 6.2). Therefore, since it cannot be established that LAFARGE holds a dominant position, the application of Article 2 of the LDC to its conduct is not warranted.  </w:t>
        <w:br/>
        <w:t xml:space="preserve">Nevertheless, the Directorate of Investigation points out that even if LAFARGE's dominant position in the market for the manufacture and sale of concrete and other construction materials in Ciudad Real had been proven, it can be rejected that an abuse has occurred, since, as stated by the now-defunct Competition Defense Tribunal (RTDC of December 15, 1994, TANDEM TRANSPORTES and RUTA SUR) and subsequently endorsed by the Supreme Court in its Judgment of May 8, 2003 (Judgment of May 8, 2003, Administrative Litigation Chamber, Section 3), "the Tribunal's doctrine regarding cases of refusal to purchase considers that there is no abuse if the conduct is justified by the entrepreneur. Because, as stated in the Resolution of November 2, 1992 (Expte. A 28/92, Seguridad Ceres), "there is no obligation to forcefully contract a certain service with a specific company by the mere fact of having a dominant position." And in the one of April 15, 1993 (Expte. A 43/92, Izbi S.L.) it is stated "that the mere existence of a dominant position in the market that a company may hold does not obligate it to contract with any supplier under non-discriminatory conditions, as highlighted by the Court of Justice of the European Communities in its Judgment, for example, of July 3, 1991, AZKO against Commission CEE II, case C-62/86, issued in interpretation of Article 86 of the EEC Treaty."  </w:t>
        <w:br/>
        <w:t xml:space="preserve">The Council shares this legal assessment of the Directorate of Investigation, and therefore concludes that there are no indications in the reserved information to attribute a conduct of abuse of dominant position to LAFARGE.  </w:t>
        <w:br/>
        <w:t xml:space="preserve">All of this is without prejudice to any eventual liability that may arise for LAFARGE due to the unilateral termination of the contract formalized with the complainant, the determination of which does not correspond to the National Competition Commission, as the complainant is aware that he has initiated a procedure for breach of contract against LAFARGE before the Commercial Court No. 8 of Madrid.  </w:t>
        <w:br/>
        <w:t xml:space="preserve">In light of the above, and having regard to the cited provisions and those of general application, the Council of the National Competition Commission.  </w:t>
        <w:br/>
        <w:t xml:space="preserve">HAS RESOLVED  </w:t>
        <w:br/>
        <w:t xml:space="preserve">SOLE.- Not to initiate sanctioning proceedings and to archive the reserved information file S/0382/11, initiated ex officio by the Directorate of Investigation of the National Competition Commission following the complaint filed by [...] against LAFARGE ÁRIDOS y HORMIGONES SAU, TRANS-LLANI SL, and GRAVILLAS SANTA CRUZ SA, as no indications of infringement of Law 15/2007, of July 3, on the Defense of Competition have been found in the actions carried out.  </w:t>
        <w:br/>
        <w:t>This Resolution shall be communicated to the Directorate of Investigation of the National Competition Commission and notified to the complainants and defendants, informing them that it concludes the administrative route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