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https://www.cnmc.es/expedientes/s039411</w:t>
      </w:r>
    </w:p>
    <w:p>
      <w:r>
        <w:t>Pages translated : 5</w:t>
      </w:r>
    </w:p>
    <w:p/>
    <w:p>
      <w:r>
        <w:rPr>
          <w:b/>
        </w:rPr>
        <w:t>[Pages 1–3]</w:t>
      </w:r>
    </w:p>
    <w:p>
      <w:r>
        <w:t xml:space="preserve">JURISPRUDENCE  </w:t>
        <w:br/>
        <w:t xml:space="preserve">Roj: SAN 1864/2014 - ECLI: ES:AN:2014:1864  </w:t>
        <w:br/>
        <w:t xml:space="preserve">Id Cendoj: 28079230062014100243  </w:t>
        <w:br/>
        <w:t xml:space="preserve">Body: National Court. Administrative Litigation Chamber  </w:t>
        <w:br/>
        <w:t xml:space="preserve">Venue: Madrid  </w:t>
        <w:br/>
        <w:t xml:space="preserve">Section: 6  </w:t>
        <w:br/>
        <w:t xml:space="preserve">Date: 04/15/2014  </w:t>
        <w:br/>
        <w:t xml:space="preserve">Case Number: 484/2012  </w:t>
        <w:br/>
        <w:t xml:space="preserve">Resolution Number:  </w:t>
        <w:br/>
        <w:t xml:space="preserve">Procedure: ADMINISTRATIVE LITIGATION  </w:t>
        <w:br/>
        <w:t xml:space="preserve">Rapporteur: ANA ISABEL RESA GOMEZ  </w:t>
        <w:br/>
        <w:t>Type of Resolution: Judgment</w:t>
      </w:r>
    </w:p>
    <w:p>
      <w:r>
        <w:t xml:space="preserve">JUDGMENT  </w:t>
        <w:br/>
        <w:t xml:space="preserve">Madrid, on the fifteenth of April two thousand fourteen.  </w:t>
        <w:br/>
        <w:t>Having seen the administrative litigation appeal no. 484/12 filed before this Sixth Section of the Administrative Litigation Chamber of the National Court by TODO PARA EL COLE, S.L., represented by Attorney Dª. Cayetana de Zulueta y Luchsinger against the resolution of the Council of the National Competition Commission (CNC) dated August 16, 2012 (file S/0394/11) regarding a complaint filed for alleged practices contrary to Article 2 of Law 15/07, of July 3, on Competition Defense. The defendant Administration has been represented and defended by the State Attorney. The amount of the appeal is indeterminate.</w:t>
      </w:r>
    </w:p>
    <w:p>
      <w:r>
        <w:t xml:space="preserve">FACTUAL BACKGROUND  </w:t>
        <w:br/>
        <w:t xml:space="preserve">FIRST: On August 16, 2012, the Council of the National Competition Commission issued a resolution in file S/0394/11, processed by the Investigation Directorate of the CNC following the complaint filed by TODO PARA EL COLE S.L. against the schools La Anunciata and Nuestra Señora del Rosario, for alleged practices contrary to Article 2 of Law 15/07, of July 3, on Competition Defense, with the following dispositive part:  </w:t>
        <w:br/>
        <w:t>"SOLE: Under the provisions of Article 49.3 of Law 15/2007 of July 3, on Competition Defense, not to initiate a sanctioning procedure and to file the reserved proceedings followed under number S/0394/11, considering that there are no indications of infringement of Articles 1 and 2 of the aforementioned Law."</w:t>
      </w:r>
    </w:p>
    <w:p>
      <w:r>
        <w:t xml:space="preserve">SECOND: On October 22, 2012, the legal representation of the plaintiff filed an administrative litigation appeal against said act before this Administrative Litigation Chamber of the National Court. It was assigned to the Sixth Section where it was admitted for processing, requesting the administrative file. A complaint was filed on June 26, 2013, in which the plaintiff requested a judgment declaring that the resolution of the Council of the National Competition Commission, dated August 16, 2012, in file S/0394/11, was not in accordance with the law or, subsidiarily, ordering the Commission to carry out the necessary investigative actions for the complete and adequate clarification of the facts so that a well-founded resolution regarding the initiation or not of the sanctioning procedure could be issued.  </w:t>
        <w:br/>
        <w:t xml:space="preserve">The State Attorney was summoned to respond to the complaint by submitting a written request for the dismissal of the appeal.  </w:t>
        <w:br/>
        <w:t xml:space="preserve">No request was made for the case to be admitted to evidence, and once the conclusions were presented, the proceedings were pending scheduling for voting and judgment, which was carried out on April 8, 2014, having observed all legal prescriptions in the processing of this appeal.  </w:t>
        <w:br/>
        <w:t>HAVING SEEN the legal articles cited by the parties and others of general and pertinent application, and being the Rapporteur the Honorable Mrs. Doña ANA ISABEL RESA GOMEZ, Judge of the Section.</w:t>
      </w:r>
    </w:p>
    <w:p>
      <w:r>
        <w:t xml:space="preserve">JURISPRUDENCE  </w:t>
        <w:br/>
        <w:t xml:space="preserve">LEGAL REASONING  </w:t>
        <w:br/>
        <w:t xml:space="preserve">FIRST: The challenged act is a resolution of the Council of the National Competition Commission which, under the provisions of Article 49.3 of Law 15/2007, decides not to initiate a sanctioning procedure and to file the proceedings followed by the Investigation Directorate, considering that the facts reported do not show evidence of infringement of Articles 1 and 2 of the Competition Defense Law and Article 81 of the Treaty of the European Community (currently Article 101 of the Treaty on the Functioning of the European Union).  </w:t>
        <w:br/>
        <w:t xml:space="preserve">The factual data to be considered for the resolution of the present contentious matter are as follows:  </w:t>
        <w:br/>
        <w:t xml:space="preserve">1.- On November 24, 2011, the entity Todo para el Cole S.L. filed a complaint before the Basque Competition Defense Service against the schools La Anunciata and Nuestra Señora del Rosario, for practices contrary to Article 2 of the LDC, consisting of agreeing on the exclusive sale of their school uniforms with El Corte Inglés S.A. (hereinafter El Corte Inglés), thereby discriminating against the complainant.  </w:t>
        <w:br/>
        <w:t xml:space="preserve">2.- In view of said complaint, the Investigation Directorate of the CNC (DI) initiated a reserved inquiry (reference number S/0394/12), in accordance with the provisions of Article 49.2 of the LDC, in order to preliminarily determine the existence of circumstances that would justify, if applicable, the initiation of a sanctioning file.  </w:t>
        <w:br/>
        <w:t xml:space="preserve">4.- In the framework of said reserved inquiry, on February 1, 2012, the DI requested information from the Francisco Coll Educational Foundation regarding its relationship with the reported schools and the distribution of their uniforms, and, in particular, regarding the supply contract for uniforms with El Corte Inglés, which was answered on February 23, 2012.  </w:t>
        <w:br/>
        <w:t>5.- On March 29, 2012, a proposal from the Investigation Directorate not to initiate the sanctioning procedure was received at the CNC Council, in accordance with the provisions of Article 49.3 of the LDC, as well as the filing of the proceedings followed as a result of the complaint filed, considering that there are no indications of infringement of the aforementioned Law.</w:t>
      </w:r>
    </w:p>
    <w:p>
      <w:r>
        <w:t xml:space="preserve">SECOND: The plaintiff alleges as the basis for its annulment claim the illegality of the contested agreement due to the existence of more than reasonable indications of infringement of the LDC and because the minimum and essential investigative actions for the clarification of the facts have not been carried out.  </w:t>
        <w:br/>
        <w:t xml:space="preserve">The DI begins its analysis by considering that in the market of educational centers "a priori, and without needing to delve into particulars, no center holds a dominant position."  </w:t>
        <w:br/>
        <w:t xml:space="preserve">It points out that "the decision of each center to impose the use of a uniform and whether it should or should not be personalized with its respective emblem would be an individual decision of each school within the framework of business freedom, as a constitutional right."  </w:t>
        <w:br/>
        <w:t xml:space="preserve">"Likewise, the decision of the center to market the uniform itself or to delegate the marketing to another company should be framed, in principle, as an exclusively business decision that would only be subject to competition regulations to the extent that it meets the application requirements of Articles 1, 2 and/or 3 LDC."  </w:t>
        <w:br/>
        <w:t xml:space="preserve">Next, the marketing of school uniforms is analyzed, differentiating between the case in which the educational center decides to market its own uniforms, and those in which it decides to do so through a distributor via agreements that include provisions on the assignment or use of industrial property rights, in this case, of brand/design, whose purpose is the supply, generally exclusively, of school uniforms with the school's emblem. Distributors compete with each other prior to the signing of contracts with each center. The DI considers that exclusivity is a consideration that could be justified as long as the contracts are for a term of less than five years, so that "any other distributor may opt for these agreements and become the exclusive distributor if it improves the offer conditions to the educational centers."  </w:t>
        <w:br/>
        <w:t xml:space="preserve">In the case at hand, the DI bases the proposal to file on the following consideration:  </w:t>
        <w:br/>
        <w:t>"Consequently, in view of the above, the Foundation would have exercised its constitutional right not to directly exploit the brand of the uniforms, but to assign it to an entity (El Corte Inglés), under conditions that do not limit the possibility of other distributors to compete, as the contract is not exclusive in favor of a single center (El Corte Inglés) and the Foundation is negotiating with other distributors."</w:t>
      </w:r>
    </w:p>
    <w:p>
      <w:r>
        <w:t xml:space="preserve">The State Attorney therefore considers, based on this, that the initiation of a sanctioning procedure is a discretionary power of the Administration and that the decision to file is sufficiently justified.  </w:t>
        <w:br/>
        <w:t xml:space="preserve">THIRD: The issue that must be addressed in the present case is related to delineating what the obligations of the competition authority are when a natural or legal person files a complaint for anti-competitive practice, and more specifically, whether there is an obligation on the part of said administration to investigate, the course that should be given to each complaint in terms of substance, and the extent of judicial control in these cases.  </w:t>
        <w:br/>
        <w:t xml:space="preserve">The Judgment of the Court of First Instance of September 18, 1992, case T-24/90 Automec, paragraphs 73 to 81, responded to these questions with a doctrine that has remained unchanged over time. For its relevance and applicability to the present matter, paragraphs 73 to 81 of said resolution are reproduced, without the regulatory changes that have occurred since then affecting the essence of the "ratio" of the doctrine contained in the cited resolution:  </w:t>
        <w:br/>
        <w:t xml:space="preserve">"73. To define the obligations of the Commission in this context, it should be preliminarily noted that it is responsible for the application and orientation of community competition policy (see the judgment of the Court of Justice, of February 28, 1991, Delimitis, C-234/89, Rec. pp. 935 et seq., especially p. 991). This is the reason why paragraph 1 of Article 89 of the Treaty assigns it the mission of ensuring the application of the principles established by Articles 85 and 86 and that the provisions adopted based on Article 87 confer it broad powers.  </w:t>
        <w:br/>
        <w:t xml:space="preserve">74. The scope of the Commission's powers in the field of competition law must be examined in light of paragraph 1 of Article 89 of the Treaty, which, in this area, constitutes the specific manifestation of the general mission of oversight entrusted to the Commission by Article 155 of the Treaty. However, as the Court of Justice has pointed out in the context of Article 169 of the Treaty (judgment of February 14, 1989, Star Fruit/Commission, 247/87, Rec. pp. 291 et seq., especially p. 301), this mission does not imply that the Commission is obliged to initiate procedures aimed at proving possible violations of community law.  </w:t>
        <w:br/>
        <w:t xml:space="preserve">75 In this regard, the Court of First Instance points out that from the case law of the Court of Justice (judgment of October 18, 1979, GEMA, previously cited, pp. 3173 et seq., especially p. 3189) it follows that, among the rights conferred to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  </w:t>
        <w:br/>
        <w:t xml:space="preserve">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in the second sentence of paragraph 1 of Article 89 of the Treaty, in cases of requests submitted by Member States, Regulations No. 17 and No. 99/63 do not expressly obligate the Commission to initiate investigations into the complaints presented to it.  </w:t>
        <w:br/>
        <w:t xml:space="preserve">77 In this regard, it should be noted that it constitutes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the case, especially when an authority has been entrusted with a mission of oversight and control as broad and general as that attributed to the Commission in the field of competition. Therefore, the fact that the Commission grants different degrees of priority to the files submitted to it in the field of competition rules is in accordance with the obligations imposed on it by community law.  </w:t>
        <w:br/>
        <w:t>78 This viewpoint is not contrary to the judgments of the Court of Justice, of October 11, 1983 (210/81), previously cited; of March 28, 1985, CICCE (298/93, Rec. p. 1105), and of November 17, 1987, BAT and Reynolds / Commission (joined cases 142/84 and 156/84, Rec. p. 4487). Indeed, in the judgment Demo-Studio Schmidt,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elements that would allow the conclusion that an infringement existed. This question was also not raised in the subsequent cases CICCE (298/83, previously cited) and BAT and Reynolds (joined cases 142/84 and 156/84, previously cited).</w:t>
      </w:r>
    </w:p>
    <w:p>
      <w:r>
        <w:rPr>
          <w:b/>
        </w:rPr>
        <w:t>[Pages 4–5]</w:t>
      </w:r>
    </w:p>
    <w:p>
      <w:r>
        <w:t>JURISPRUDENCE</w:t>
        <w:br/>
        <w:t>79 Nevertheless, although the Commission cannot be compelled to conduct an investigation, the procedural guarantees provided in Article 3 of Regulation No. 17 and in Article 6 of Regulation No. 99/63 oblige it to carefully examine the factual and legal elements brought to its attention by the complainant, in order to determine whether these elements reveal conduct that may distort competition within the common market and affect trade between Member States (see the judgments of the Court of Justice of 11 October 1983, Demo-Studio Schmidt, of 28 March 1985, CICCE, and of 17 November 1987, BAT and Reynolds, previously cited).</w:t>
        <w:br/>
        <w:t>80. When, as in the present case, the Commission has made a decision to file the complaint without conducting any investigation, the legality control that this Court must carry out aims to verify that the contested decision is not based on materially inaccurate facts, is not tainted by any error of law, nor by any manifest error of assessment or abuse of power.</w:t>
        <w:br/>
        <w:t>81. It is the responsibility of the Court of First Instance, in light of these principles, to first verify whether the Commission conducted the examination of the complaint to which it was obliged, evaluating, with all necessary attention, the factual and legal elements presented by the complainant in their complaint and, secondly, whether the Commission correctly justified its decision to file the complaint, invoking its power to "grant different degrees of priority in the initiation of proceedings on the matters submitted to it," on the one hand, and referring to the community interest of the matter as a criterion of priority, on the other.</w:t>
        <w:br/>
        <w:t>FOURTH: The previous doctrine raises and resolves a situation that goes even beyond the reality underlying the present case, as it emphasizes on the one hand that there is no subjective right of the complainant to obtain a declaration on the existence or non-existence of the infringement, which implies that there is no legally enforceable duty that imposes on the Commission the obligation to initiate an investigation, and on the other hand, that the competition authority, for the correct exercise of the powers entrusted to it, can even establish degrees of priority in investigations.</w:t>
        <w:br/>
        <w:t>In both cases, the aforementioned decisions, necessarily taken on the basis of a detailed examination of the facts and allegations made by the complainant, are subject to further judicial control, which excludes the assessment of the appropriateness in the decision-making, as it is limited to verifying that the contested decision is not based on materially inaccurate facts, is not tainted by any error of law, nor by any manifest error of assessment, nor by abuse of power.</w:t>
        <w:br/>
        <w:t>In the present case, the action of the CNC falls within the first of the options previously contemplated, that is, the obligation to rule on the existence or non-existence of a specific infringement.</w:t>
        <w:br/>
        <w:t>FIFTH: The decision to file the complaint by the CNC is preceded by a preliminary investigation activity carried out by the DI. The CNC fully adopted the facts and the proposal, which conducted an analysis of the reported situation, the exhaustiveness of which is questioned by the plaintiff in addition to not sharing the reasoning contained in the proposal.</w:t>
        <w:br/>
        <w:t>In these circumstances, the complaint of the appellant based on the lack of motivation of the contested resolution must be dismissed, as it contains a sufficient account of the facts, in which no serious inaccuracy causing defenselessness has been demonstrated, and furthermore, a reasoning that allows the appellant to understand the reasons for the denial of their request, enabling the exercise of judicial actions such as the one initiated in this case. Therefore, we must conclude that the contested resolution is sufficiently motivated.</w:t>
        <w:br/>
        <w:t>As for the arguments of the complainant regarding the substance of the matter, violation of Article 2 of the LDC, the resolution of the CNC contains reasoning that cannot be classified as incurring a manifest error of assessment, arbitrariness, or constituting an abuse of power.</w:t>
        <w:br/>
        <w:t>Indeed, the CNC states that the complaint is based on the existence of a dominant position of the Foundation in the market for the sale of school uniforms for two of its schools, and that the agreement for the exclusive sale of the uniforms and its refusal to reach an agreement with the complainant on non-discriminatory terms compared to those reached with El Corte Inglés constitutes conduct of abuse of that dominant position prohibited by Article 2 of the LDC.</w:t>
        <w:br/>
        <w:t>The reported conduct could be classified as a refusal to supply, where the trademark holder, the School, does not allow the distribution of uniforms with the registered distinctive sign to be carried out by the complainant, with whom it has not previously established a commercial relationship that authorizes the use of the trademark on the uniforms it distributes, which it has done with other distributors such as El Corte Inglés. If it is generally excluded that a market can be delineated based on trademark ownership, there is no possibility of speaking in this case of a dominant position by the Foundation nor, therefore, proceeding to determine a possible abuse of that position, within the framework of Article 2 of the LDC.</w:t>
        <w:br/>
        <w:t>But the CNC even goes further by considering that the perspective from which the agreement between the Foundation and El Corte Inglés, the subject of this file, should be analyzed, as a vertical agreement between non-competitors, is that of Article 1 of the LDC, as the DI also does in its Report. Therefore, it is a matter of determining whether the conditions of the agreement under which the Foundation, which has an exclusive right to use a trademark or distinctive sign in economic traffic, grants a license for its distribution for four years, affect the competitive structure of a market that, taking into account the scope of action of Todo para el Cole and El Corte Inglés, could be defined, in its narrowest delimitation, as that of the manufacture and distribution of school uniforms with exclusive distinctive signs throughout the national territory. In this sense, the documentation in the file does not establish that the agreement in question is one of exclusive distribution. The terms of the distribution contract only establish exclusivity for the localities where there are El Corte Inglés or Hipercor centers, allowing the Foundation, with prior notice, to establish distribution agreements in other localities. Furthermore, the Foundation states that it is negotiating with other distributors to reach agreements. Under these conditions, there is the possibility that other marketers participate in the distribution of uniforms with the Foundation's distinctive signs. On the other hand, the fact that Todo para el Cole cannot distribute the uniforms of two schools of the Foundation does not prevent it from competing in the affected market.</w:t>
        <w:br/>
        <w:t>But even if the agreement between Todo para el Cole and El Corte Inglés were one of exclusive distribution, given the legal and economic context in which it is framed, for it to be considered conduct prohibited by Article 1 of the LDC, its duration would need to exceed five years and the market shares in the relevant market, whether of the Foundation or El Corte Inglés, would need to exceed 30%, according to the criteria of Commission Regulation EU 330/2010 of April 20, regarding the application of paragraph 3 of Article 101 of the Treaty on the Functioning of the European Union. Since the duration of the agreement is four years and it has not been established that the market shares exceed the stated percentage, in accordance with the provisions of paragraph 4 of Article 1 of the LDC, the prohibition of paragraph 1 of the same article would not apply to this agreement.</w:t>
        <w:br/>
        <w:t>And that is why the Council considers that in the agreement between the Foundation and El Corte Inglés, which aims at the distribution of uniforms for the Foundation's educational centers, there are no indications of an infringement of Article 1 of the LDC, nor of a dominant position under Article 2 of the LDC that would warrant initiating a sanctioning procedure.</w:t>
        <w:br/>
        <w:t>In short, the CNC does not perceive an improper use of its powers that has led it to the decision not to initiate a sanctioning procedure, so the appeal must be dismissed.</w:t>
        <w:br/>
        <w:t>SIXTH: From all of the above, it follows that the present appeal should be dismissed and, in accordance with the provisions of Article 139 of the LJCA, the costs should be imposed on the appellant, the losing party in this process.</w:t>
        <w:br/>
        <w:t>HAVING SEEN the cited provisions and others of general and pertinent application, by the power granted to us by the Constitution:</w:t>
        <w:br/>
        <w:t>WE DECREE</w:t>
        <w:br/>
        <w:t>TO DISMISS</w:t>
        <w:br/>
        <w:t>the administrative contentious appeal filed by the legal representation of TODO PARA EL COLE S.L. against the resolution of the Council of the National Competition Commission (CNC) of August 16, 2012 (file S/0394/11) to which the claim refers, which we declare to be in accordance with the law. Costs are imposed on the plaintiff.</w:t>
        <w:br/>
        <w:t>Thus, by this our judgment, which will be notified stating that an appeal for cassation may be filed against it, following the prescribed indications in Article 248 of Organic Law 6/1985, and a testimony of which will be sent in due course to the originating office for legal purposes along with the file, if applicable, we pronounce, order, and sign.</w:t>
        <w:br/>
        <w:t>PUBLICATION.- The previous judgment was read and published in the usual manner by the Honorable Ms. Magistrate Rapporteur,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