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https://www.cnmc.es/expedientes/s039912</w:t>
      </w:r>
    </w:p>
    <w:p>
      <w:r>
        <w:t>Pages translated : 19</w:t>
      </w:r>
    </w:p>
    <w:p/>
    <w:p>
      <w:r>
        <w:rPr>
          <w:b/>
        </w:rPr>
        <w:t>[Pages 1–3]</w:t>
      </w:r>
    </w:p>
    <w:p>
      <w:r>
        <w:t xml:space="preserve">RESOLUTION  </w:t>
        <w:br/>
        <w:t xml:space="preserve">(Expte. S/0399/12, GRUPO GALLARDO)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October 1, 2012  </w:t>
        <w:br/>
        <w:t xml:space="preserve">The Council of the National Competition Commission, with the composition stated above and with Councilor Rapporteur Ms. María Jesús González López, has issued the following Resolution in the reserved information file S/0399/12, GRUPO GALLARDO, arising from a complaint filed by GP MANUFACTURAS DEL ACERO, S.A. against GRUPO ALFONSO GALLARDO and, in particular, against its companies A.G. FERROMALLAS, S.A. and CORRUGADOS LASAO, S.L., for alleged practices prohibited by Law 15/2007, of July 3, on the Defense of Competition (LDC).  </w:t>
        <w:br/>
        <w:t xml:space="preserve">FACTUAL BACKGROUND  </w:t>
        <w:br/>
        <w:t xml:space="preserve">1. On November 16, 2011, the Directorate of Investigation (hereinafter, DI) received the document by which GP MANUFACTURAS DEL ACERO, S.A. (GP) filed a complaint against GRUPO ALFONSO GALLARDO (GALLARDO) and, in particular, against its companies A.G. FERROMALLAS, S.A. and CORRUGADOS LASAO, S.L., for alleged restrictive competition practices consisting of an abuse of dominant position through the application of predatory pricing in the market for welded meshes in Andalusia, Extremadura, and Castilla-La Mancha (folios 1-39, 459, 499-500, 503).  </w:t>
        <w:br/>
        <w:t xml:space="preserve">2. On December 15, 2011, the DI requested the correction of the complaint for lacking data on the reported companies, the period of the reported practice, and information on the relevant market (definition of product market and geographical market, market structure, costs, final product prices, etc.) (folios 40-45). The response was received at the CNC on December 29, 2011 (folios 46-65).  </w:t>
        <w:br/>
        <w:t xml:space="preserve">3. On January 19, 2012, the DI requested information from GP regarding the market structure, price changes in 2011 compared to the previous year, the operating radius of the mesh factories, and average transportation costs, among others (folios 76-81). A response was received on February 1, 2012 (folios 82-110, 501-502).  </w:t>
        <w:br/>
        <w:t xml:space="preserve">4. In application of the provisions of Article 2.1 of Law 1/2002, of February 21, on Coordination of the State and the Autonomous Communities in matters of Defense of Competition, on January 27, 2012, the CNC was assigned file number 59 AND 02-04/12 from the Agency for the Defense of Competition of Andalusia, with the original documentation received on February 6 incorporated into this file S/0399/11 due to the direct connection between the reported and analyzed facts in both. File 59 AND 02-04/12 contained the complaint filed by GP on August 29, 2011, before the Union of Consumers of Andalusia-UCA/UCE (hereinafter, UCA), which was subsequently forwarded to the Agency for the Defense of Competition of Andalusia on September 1, 2011. In it, GP complains about three manufacturers of welded meshes: GALLEGA DE MALLAS, S.A., INDUSTRIAS METALURGICAS CASTRO, S.A., and REDONDOS PREFORMADOS, for selling meshes below cost and because, it states, they violate the EHE 08 standard, that is, the Instruction on Structural Concrete (EHE) approved by Royal Decree 1247/2008, of July 18 (folios 111-240, 459, 460-468, and 503).  </w:t>
        <w:br/>
        <w:t xml:space="preserve">5. Subsequently, on February 21, 2012, the CNC received, through the UCA, three other complaints from GP, dated October 20, 21, and 24, 2011. The first complaint is against the company INDUSTRIAS METALURGICAS CASTRO, S.A., the second against the company GALLEGA DE MALLAS, S.L., and the third against A.G. FERROMALLAS, S.A. and CORRUGADOS LASAO, S.L., of the GALLARDO Group. The complaints are accompanied by purchase invoices for mesh from wholesalers, test result records of meshes that do not meet the specifications of the EHE 08 standard, a "Technical Report on the consequences of the manufacture and marketing of welded mesh with a weight deviation greater than 4.5% below the nominal weight," and an "Expert Opinion on the study of tolerances in welded meshes" (folios 241-326, 459, 469-490, and 503).  </w:t>
        <w:br/>
        <w:t xml:space="preserve">6. The DI, in order to assess whether the circumstances existed to initiate a sanctioning file, on April 17, 2012, requested information from the complainant and the GALLARDO Group regarding the market structure of long steel products and welded meshes (quotas, barriers, substitute products, etc.), factors considered in the pricing of meshes, importance of transportation costs, location of customers, possible non-compliance with the EHE 08 construction regulations, and the body that monitors compliance with it. GP submitted the response on April 27, 2012, completed by a written document on May 4, 2012, to which it attached a "Technical Opinion on the consequences of the manufacture and marketing of welded mesh with a mass deviation greater than 4.5% below the nominal mass" (folios 403-445, 459, 491-498, 503, and 539). The response from Gallardo was received on April 27 and completed on May 8, 2012 (folios 344-402, 436-445, and 446-530).  </w:t>
        <w:br/>
        <w:t xml:space="preserve">7. Likewise, the DI requested information, on May 14, 2012, from the General Subdirectorate of Quality and Industrial Safety of the Ministry of Industry, Energy and Tourism regarding the authority or body (administrative, judicial, or private) competent to monitor compliance with the EHE 2008 standard, specifically concerning compliance with paragraph 4 of article 32.1 thereof. The response to this request was received on June 1, 2012 (folios 536 and 537).  </w:t>
        <w:br/>
        <w:t xml:space="preserve">8. On June 21, 2012, the DI submitted to the CNC Council, in accordance with the provisions of article 49.3 LDC, a proposal for non-initiation of the sanctioning procedure, as well as the filing of the proceedings, considering that there are no indications of infringement of the LDC.  </w:t>
        <w:br/>
        <w:t xml:space="preserve">9. In the aforementioned Report and Proposal for Resolution, the DI describes GP's complaint regarding the alleged infringements of articles 2 and 3 of the LDC in the following terms:  </w:t>
        <w:br/>
        <w:t xml:space="preserve">- Firstly, according to the complainant, the application of predatory pricing in the market for welded meshes during the years 2009, 2010, and 2011 would constitute an abuse of dominant position by GALLARDO and, in particular, by its companies A.G. FERROMALLAS, S.A. and CORRUGADOS LASAO, which would violate article 2 of the LDC. The complaint regarding this conduct is limited to the dominant position that GALLARDO would hold in the area of Andalusia, Extremadura, and Castilla-La Mancha, according to the complainant.  </w:t>
        <w:br/>
        <w:t xml:space="preserve">- Secondly, it is alleged that the companies GALLEGA DE MALLAS, S.L., INDUSTRIAS METALURGICAS CASTRO, S.A., REDONDOS PREFORMADOS, in addition to A.G. FERROMALLAS, S.A. and CORRUGADOS LASAO, S.L. (GALLARDO) would be infringing article 3 of the LDC by distorting competition through unfair acts, consisting of the manufacture and marketing of welded meshes for construction that do not comply with the EHE 08 construction regulations, specifically article 32.1, paragraph 4, which establishes that the sections must not be less than 95.5% of the nominal section, remaining below that percentage during the years 2009, 2010, and 2011.  </w:t>
        <w:br/>
        <w:t xml:space="preserve">- To substantiate the alleged fraud, the complainant presents records from laboratories analyzing samples of meshes from the reported manufacturers that it has acquired from various wholesalers.  </w:t>
        <w:br/>
        <w:t xml:space="preserve">10. The parties in the file according to the Report and Proposal for Filing of the DI are as follows:  </w:t>
        <w:br/>
        <w:t>GP MANUFACTURAS DEL ACERO, S.A. (GP), the complainant, is based in Dos Hermanas (Sevilla) and is engaged in the manufacture and marketing throughout the national territory of cold-rolled steel for use in construction (product known as corrugated wire) and its derivatives, among which is welded mesh (also known as mallazo).</w:t>
      </w:r>
    </w:p>
    <w:p>
      <w:r>
        <w:rPr>
          <w:b/>
        </w:rPr>
        <w:t>[Pages 4–6]</w:t>
      </w:r>
    </w:p>
    <w:p>
      <w:r>
        <w:t>The defendants are the two companies of the ALFONSO GALLARDO GROUP (GALLARDO), which are engaged in the manufacture of welded mesh, A.G. FERROMALLAS, S.A. (FERROMALLAS) and CORRUGADOS LASAO, S.L. (LASAO) (folios 25, 26, 483 and 486) and the companies INDUSTRIAS METALURGICAS CASTRO, S.A. (INMECASA), GALLEGA DE MALLAS, S.L. and REDONDOS PREFORMADOS, S.L. (folios 463, 472, 477 and 480).</w:t>
        <w:br/>
        <w:t>− GALLARDO is a commercial company of Spanish nationality, parent of a series of companies that make up the group, which develops its productive activity mainly in Spain and Germany. Its main activity consists of the manufacture and marketing of steel products used in construction and in various industrial applications, having a presence in different phases of the production process: transformation of raw materials, manufacture of finished products, and distribution. GALLARDO produces in its eight plants in Spain and in its plants in Germany, mainly long carbon steel products (profiles, beams, corrugated -bars, wires, cables, meshes- and tubes). Long carbon steel products are primarily used in construction. GALLARDO also manufactures flat carbon steel products (coils and sheets, mainly), used in the automotive industry and in various industrial applications (appliances, packaging, civil engineering, and mechanical constructions). The marketing of these products is carried out through the sale of the product to customers via external distributors who sell the final product to the customer and through its own distribution network (see Resolution of the CNC Council March 17, 2009, expte. C-0135/09 GAG/MMSA). GALLARDO is headquartered in Jerez de los Caballeros (Badajoz), as is FERROMALLAS, and LASAO in Azpeitia (Guipúzcoa). According to information from the defendant, the companies FERROMALLAS and LASAO, which are engaged in the manufacture of corrugated wires and welded steel meshes for reinforced concrete, are part of the Group. As for FERROMALLAS, its clientele is located exclusively in Spain, throughout the national territory, mainly in the southern half. LASAO has its clientele in the northern half of the national territory and in France (folios 511 and 512).</w:t>
        <w:br/>
        <w:t>− The company INDUSTRIAS METALURGICAS CASTRO, S.A. (INMECASA) is headquartered in Las Cabezas de San Juan, Sevilla; GALLEGA DE MALLAS, S.L. in Arteixo (La Coruña), and REDONDOS PREFORMADOS, S.L. in Zaragoza. They are companies specialized in the supply of metallurgical material for construction, dedicating themselves, among others, to the manufacture of welded meshes. Their clients are located throughout the national territory.</w:t>
        <w:br/>
        <w:t>11. The DI in its Report and Proposal for Filing, relying on the information gathered in the file and on the resolutions of the competition authorities on the matter (among others, Case COMP/M.4137, MITTAL / ARCELOR; Resolutions of the CNC of March 16, 2009, expte. C-0135/09 GAG/MMSA and May 17, 2010, expte. S/0106/08, Almacenes Hierro; Resolutions of the TDC of October 8, 2001, file r 475/01, Manufacturas Acero and May 28, 2003, file r 540/02, Manufacturas Acero 2; and in the SDC Report of 2005, expte. N-05047, Nueva Balboa/Arcelor Corrugados), makes the following description of the market in which the reported conduct takes place:</w:t>
        <w:br/>
        <w:t>“II.3 Relevant Market</w:t>
        <w:br/>
        <w:t>II.3.1 Product Market</w:t>
        <w:br/>
        <w:t>(21) The product market in which the analyzed practices take place is, within the steel sector, the production and marketing of long steel products, in particular, welded steel meshes for reinforced concrete.</w:t>
        <w:br/>
        <w:t>(22) The metallurgy sector encompasses all operations related to the transformation of metals and the manufacture of derived products. In turn, the metallurgy sector includes the more specific steel sector, where only iron products, essentially different types of steel, would be included. The productive structure of the affected sector has a first level where steel producers from iron ore (blast furnaces) or scrap (electric furnaces) are found, who, after various processes of industrial reconversion, usually form part of large international groups (Arcelor Mittal, Grupo Alfonso Gallardo or Acerinox). In a second level, there would be stockists and distributors of iron, who market these steel products wholesale or retail. Within this category, large vertically integrated international groups that are also active in the distribution and storage market would also be included. It is therefore a heterogeneous sector made up of both large companies and family businesses.</w:t>
        <w:br/>
        <w:t>(23) The end customers of the sector are industries that use their products as raw materials, which would include construction, automotive, mechanical engineering, tubes, metal-ceramics, structural steelworks, etc. In particular, in the case of construction, two intermediate sectors must be distinguished, that of metal structures and that of rebar. The activity of the former consists of the realization of steel structures for construction (metal beams, tubular structures, etc.). In the latter case, rebar companies are engaged in construction work with corrugated steel for the framework of concrete slabs.</w:t>
        <w:br/>
        <w:t>(24) The steel distribution market constitutes a market differentiated from the market for the production and direct sale of steel, as orders in the distribution market are of lower value, distributors can respond more quickly to their customers' demands, distribution has a more local geographical nature than direct sales, and there is a large number of distributing companies of very varied sizes. Likewise, distribution operations have their own characteristics, steel distributors are not mere sales agencies as there are a large number of them independent (non-integrated) in the European Union.</w:t>
        <w:br/>
        <w:t>(25) Regarding the structure of the supply of the Spanish steel distribution market, particularly of long carbon steel products through storage centers, it is highly fragmented with no company having a share greater than 10% and there being a significant presence in the market of small warehouses. Suppliers that are part of large distribution groups and even distributors integrated into large European manufacturers operate in the market.</w:t>
        <w:br/>
        <w:t>(26) On the other hand, the demand for steel distribution, particularly of long carbon steel products through warehouses, is predominantly made up of companies in the construction and infrastructure sector, so there is a very fragmented demand by number and size of customers. Such customers require a variable supply, not excessively large in volume and with a quick response from the distributor. Agreements are not exclusive supply agreements and prices are generally negotiated in each transaction.</w:t>
        <w:br/>
        <w:t>(27) In this specific case, the product on which the complaint is based is welded steel meshes for reinforced concrete. They are used in construction for: foundations, walls, pavements and slabs, slabs, roofs, tanks, channels, dams, etc.</w:t>
        <w:br/>
        <w:t>(28) In the scope of the EHE 08 standard (chapter VI Materials, point 33.1.1), welded mesh is understood to be the reinforcement formed by the arrangement of corrugated bars or corrugated wires, longitudinal and transverse, of equal or different nominal diameter, which cross each other perpendicularly and whose contact points are joined by electric welding, carried out in a mass production process in an industrial installation external to the work, which complies with the provisions of UNE-EN 10080. Welded meshes are manufactured from corrugated bars or corrugated wires, which are not mixed with each other and must meet the requirements established for them in Article 32 of the EHE 08 standard.</w:t>
        <w:br/>
        <w:t>(29) Welded meshes are a final product of long carbon steel. Final products are differentiated by their thickness, length, and treatment, so they are segmented into two categories:</w:t>
        <w:br/>
        <w:t>- Long products: beams, profiles, bars, wire rod, cables, wires, and meshes, primarily used in construction and infrastructure.</w:t>
        <w:br/>
        <w:t>- Flat products: coils and sheets, among others, used in the automotive industry and in various industrial applications (appliances, packaging, civil engineering, and mechanical constructions).</w:t>
        <w:br/>
        <w:t>(30) In national and community precedents, it is concluded that long and flat carbon steel products constitute separate markets, as they are manufactured in different rolling mills and there are significant differences in terms of their final applications and prices.</w:t>
      </w:r>
    </w:p>
    <w:p>
      <w:r>
        <w:rPr>
          <w:b/>
        </w:rPr>
        <w:t>[Pages 7–9]</w:t>
      </w:r>
    </w:p>
    <w:p>
      <w:r>
        <w:t>(31) In turn, welded wire meshes can be of two types: meshes of corrugated bars (whose raw material is corrugated steel or bars), which are only produced by the factories of the steel industry headquarters, and meshes of corrugated wires (with wire rod as the raw material), which are produced by both the steel industry headquarters and independent transformers. According to the complainant, corrugated wire meshes have corrugated bar meshes as a substitute product. In turn, both types of meshes can be substituted by corrugated bars or corrugated steel for the reinforcement of concrete in flat surfaces (foundation bases, industrial building slabs, retaining walls, concrete structures for buildings, etc.) (folio 494). On the contrary, one of the defendants, GALLARDO, has stated that there is no substitute product (folio 509).</w:t>
      </w:r>
    </w:p>
    <w:p>
      <w:r>
        <w:t>(32) According to the complainant, there are no barriers to entry in the market for the manufacture of welded wire meshes made of corrugated wires. In precedents of concentrations, the notifying parties state that there are no significant barriers to entry in the broad market for the manufacture and marketing of long steel products nor in their distribution.</w:t>
      </w:r>
    </w:p>
    <w:p>
      <w:r>
        <w:t>(33) The destination of the mesh is the construction sector. Schematic representation of the links in the manufacturing, distribution, and sales chain is as follows:</w:t>
        <w:br/>
        <w:t>Source: GP (folio 497).</w:t>
      </w:r>
    </w:p>
    <w:p>
      <w:r>
        <w:t>(34) Sales factories can be steel industry headquarters, such as GALLARDO, or independent transformers. Both distribute through iron warehouses and, in the case of the former, also directly to construction companies as well as to rebar suppliers.</w:t>
      </w:r>
    </w:p>
    <w:p>
      <w:r>
        <w:t>(35) Regarding the cost price of the mesh, according to the complainant and GALLARDO, it is determined by the price of the raw material, which is wire rod, the transformation costs of the raw material into the final product, and transportation. According to GALLARDO, the cost of wire rod is what determines the price of the final product, representing between 90% and 95% of the latter. All this taking into account the existing market price at each moment (folios 28, 52, and 510).</w:t>
      </w:r>
    </w:p>
    <w:p>
      <w:r>
        <w:t>(36) According to GALLARDO, transportation costs represent between 3% and 5% (folio 510). For its part, the complainant points out that regarding the distance in kilometers, the maximum distance at which the meshes can be transported is 500 km in a reasonable manner, but the area of influence of each factory has a radius of action of 250/300 km (folio 52).</w:t>
      </w:r>
    </w:p>
    <w:p>
      <w:r>
        <w:t>(37) For long steel products, in general, competition is fundamentally based on prices since the quality of the products manufactured by different operators is homogeneous. The products are standardized, requiring certification of compliance with sector regulations. Additionally, competition also occurs in the services provided, that is, in the ability to deliver the products within the timeframe required by the customer.</w:t>
      </w:r>
    </w:p>
    <w:p>
      <w:r>
        <w:t>(38) In light of all the above, the market for welded wire meshes is considered in this case to assess the reported conduct.</w:t>
      </w:r>
    </w:p>
    <w:p>
      <w:r>
        <w:t>II.3.2. Geographic Market</w:t>
      </w:r>
    </w:p>
    <w:p>
      <w:r>
        <w:t>(39) In resolutions of the TDC in the matter of Steel Manufactures (file no. 2203/00), the relevant geographic market has been analyzed and defined in the following terms: “It is difficult to speak of a dominant position in a specific geographic area when the customers and recipients of the mesh that H.I.S. distributes are located in areas as distant as Andalusia, Alicante, and Tenerife. The impact of transportation costs on the transaction does not affect the location of the distributing company, but rather the distance between the manufacturer and the construction site in question.” […] “the appellant itself admits the existence in the national territory of six other companies that, like the defendant, can supply the same product, that is, the special mesh or steel mesh used in the construction industry, under similar conditions, with no obstacles for these companies to supply different geographic areas from where they are located.”</w:t>
      </w:r>
    </w:p>
    <w:p>
      <w:r>
        <w:t>(40) In short, the market for meshes has been defined as national by the TDC, regardless of the location of the supplying company. (TDC Resolution of May 28, 2003, file r 540/02, FD 2º)</w:t>
      </w:r>
    </w:p>
    <w:p>
      <w:r>
        <w:t>(41) Moreover, the market for the production and marketing of long steel products has even been defined as European by the CNC in some of the aforementioned precedents. Likewise, the market for steel production is the EEA, according to national and community precedents. In both cases, the reasons are that: transportation costs for these products represent between 5% and 10% of the final product cost, there are no significant barriers to community traffic, prices are similar throughout the EU, the main producers operate in practically all EU member states, and imports of steel from third countries are increasing.</w:t>
      </w:r>
    </w:p>
    <w:p>
      <w:r>
        <w:t>(42) According to the complainant, the shares for the affected market in Spain are as follows:</w:t>
        <w:br/>
        <w:t>MARKET</w:t>
        <w:br/>
        <w:t>MANUFACTURE AND</w:t>
        <w:br/>
        <w:t>SALE OF MESHES</w:t>
        <w:br/>
        <w:t>IN SPAIN</w:t>
        <w:br/>
        <w:t>Operator 2009 2010 2011</w:t>
        <w:br/>
        <w:t>Share (%) Share (%) Share (%)</w:t>
        <w:br/>
        <w:t>AG Ferromallas [5-10%] [10-15%] [10-15%]</w:t>
        <w:br/>
        <w:t>AG Corrugados Lasao [10-15%] [10-15%] [15-20%]</w:t>
        <w:br/>
        <w:t>Megamalla [5-10%] [10-15%] [5-10%]</w:t>
        <w:br/>
        <w:t>Acepsa-Mallacero [30-35%] [30-35%] [35-40%]</w:t>
        <w:br/>
        <w:t>GP Manufacturas del [10-15%] [5-10%] [0-5%]</w:t>
        <w:br/>
        <w:t>Acero</w:t>
        <w:br/>
        <w:t>Transformados Huevar [0-5%] [0-5%] [5-10%]</w:t>
        <w:br/>
        <w:t>Ind. Met Castro [0-5%] [0-5%] [0-5%]</w:t>
        <w:br/>
        <w:t>Gallega de Mallas [10-15%] [10-15%] [10-15%]</w:t>
        <w:br/>
        <w:t>Redondos Preformados [5-10%] [5-10%] [5-10%]</w:t>
        <w:br/>
        <w:t>Ind. Armaduras Omnia [5-10%] [5-10%] [0-5%]</w:t>
        <w:br/>
        <w:t>Metalurgica Alavesa [5-10%] [0-5%] [0-5%]</w:t>
        <w:br/>
        <w:t>Others</w:t>
        <w:br/>
        <w:t>Total Gen. 100 100 100</w:t>
        <w:br/>
        <w:t>Source: GP (folio 439).</w:t>
      </w:r>
    </w:p>
    <w:p>
      <w:r>
        <w:t>(43) The companies reported all operate at the national level (folios 36, 456-457, and 511). Additionally, LASAO markets in France (folio 511).</w:t>
      </w:r>
    </w:p>
    <w:p>
      <w:r>
        <w:rPr>
          <w:b/>
        </w:rPr>
        <w:t>[Pages 10–12]</w:t>
      </w:r>
    </w:p>
    <w:p>
      <w:r>
        <w:t>(44) In light of all the above, the market for welded meshes is considered in this case to be of national scope for assessing the reported conduct.”</w:t>
      </w:r>
    </w:p>
    <w:p>
      <w:r>
        <w:t>12. In its Report and Proposal for Filing to the Council, the DI also includes a description of the regulatory framework applicable to the products referred to in the practices analyzed in the file:</w:t>
        <w:br/>
        <w:t>“II.4. Quality Regulation: EHE 08 Standard, Structural Concrete Instruction.</w:t>
      </w:r>
    </w:p>
    <w:p>
      <w:r>
        <w:t>(45) The Structural Concrete Instruction (EHE 08), which was approved by Royal Decree 1247/2008, of July 18, aims to regulate the design, execution, and control of concrete structures, both in building works and civil engineering, in order to achieve their adequate safety, preserving that of the constructions that support them and that of the users who utilize them.</w:t>
      </w:r>
    </w:p>
    <w:p>
      <w:r>
        <w:t>(46) The materials and construction products that are permanently incorporated into the structures (concrete, cement, aggregates, corrugated steel, fabricated reinforcements, prestressing systems, prefabricated elements, etc.) must present sufficient characteristics for the structure to meet the requirements of this Instruction. Likewise, the characteristics of the materials used must allow them to meet the requirements of this Instruction after their manufacture, so they must comply with the specifications established for such materials.</w:t>
      </w:r>
    </w:p>
    <w:p>
      <w:r>
        <w:t>(47) Specifically, the steels for passive reinforcements (raw material for welded meshes) must comply with Article 32, section 1, paragraph 4, which establishes the following: “The equivalent section shall not be less than 95.5 percent of the nominal section.”</w:t>
      </w:r>
    </w:p>
    <w:p>
      <w:r>
        <w:t>(48) Regarding the control of product conformity, the Technical Direction, on behalf of the Property, has the obligation to verify the conformity with what is established in the project of the products received at the worksite and, in particular, of those that are permanently incorporated into it.</w:t>
      </w:r>
    </w:p>
    <w:p>
      <w:r>
        <w:t>(49) In Article 87 "Control of Steel" of said Instruction, it is established that, among the tests and verifications to be carried out for each batch of reinforcement, it must be verified that the equivalent section must meet the limit specified in Article 32, and if non-compliance is detected in a batch, the batch must be rejected from the work.</w:t>
      </w:r>
    </w:p>
    <w:p>
      <w:r>
        <w:t>(50) Article 88 outlines the control of reinforcements and regarding welded meshes (standardized reinforcements), they may or may not have the CE marking. For those that do not have the CE marking, their conformity must be verified.</w:t>
      </w:r>
    </w:p>
    <w:p>
      <w:r>
        <w:t>(51) The General Subdirectorate of Quality and Industrial Safety of the Ministry of Industry, Energy and Tourism informs that the competent authority or body in relation to EHE 2008 is the Permanent Commission of Concrete, attached to the General Subdirectorate of Regulation and Technical Studies of the Ministry of Development. On the other hand, regarding the Administrative Control or Market Surveillance of industrial products, the executive authority belongs to the Industry authorities of the Autonomous Communities within their territory, so any possible complaints of non-compliance must be managed by the aforementioned authorities (folio 537).”</w:t>
      </w:r>
    </w:p>
    <w:p>
      <w:r>
        <w:t>13. In its Report and Proposal to the Council, the DI analyzes the possible indications of infringement in the reported conduct, which are specified as follows:</w:t>
        <w:br/>
        <w:t>- Existence of a possible infringement of Article 2 of the LDC, consisting of an abuse of dominant position by GALLARDO through the application of predatory pricing in the market of welded meshes during the years 2009, 2010, and 2011.</w:t>
        <w:br/>
        <w:t>- Existence of a possible infringement of Article 3 of the LDC for the non-compliance with paragraph 4 of Article 32.1 of the EHE-08 standard by the reported companies (GALLARDO –FERROMALLAS and LASAO, INMECASA, GALLEGA DE MALLAS S.L. and REDONDOS PREFORMADOS S.L.) during the years 2009, 2010, and 2011, as well as the sale below cost also during that period, which could constitute an unfair practice that, by distorting competition, affects the public interest.</w:t>
      </w:r>
    </w:p>
    <w:p>
      <w:r>
        <w:t>13.1 Firstly, regarding Article 2 of the LDC, which prohibits “the abusive exploitation by one or more companies of their dominant position in all or part of the national market,” the DI analyzes whether the Gallardo Group enjoys a dominant position. To this end, it describes the characteristics of the market in the following terms:</w:t>
        <w:br/>
        <w:t>- The product market considered is the narrowest possible, the market for welded steel meshes for reinforced concrete, as it cannot be clearly deduced from the information provided by the parties or from precedents (which refer to the long steel product market) that there may be a substitute product for the meshes.</w:t>
        <w:br/>
        <w:t>- The geographical market for welded meshes is at least national, according to the precedents. All the companies reported in this matter operate at a national level in the sense that they sell in a scope larger than regional. Specifically, GALLARDO has customers throughout the national territory and also sells outside Spain. However, GP reports an abuse of dominant position in regional markets, such as the areas of Andalusia, Extremadura, and Castilla-La Mancha, although the complainant itself points out the existence of competition among those areas (folio 36):</w:t>
        <w:br/>
        <w:t>“In Andalusia, the Gallardo Group faces 3 companies located in the region (2 with national projection and 1 regional) and the sales of other national companies (4). As previously noted, Gallardo has 50% of the market, and the other half is to be divided equally among the others. In Castilla-La Mancha, there is 1 manufacturer located in the region, where 5 other national companies converge, in addition to those of the Gallardo Group (Ferromallas and Corrugados Lasao). The proportions are similar to those of the Andalusian market. In Extremadura, where only its Ferromallas factory is located, Gallardo's percentage is higher (75%), with the rest to be divided among 6 national factories.”</w:t>
        <w:br/>
        <w:t>Additionally, the complainant also points out (folio 49) that “In the Central area, Castilla-La Mancha and Madrid, all [manufacturing and marketing companies of meshes] are present except Viguetas el Sardinero,” so, if this were true, considering the relevant action radius of 500 km, also alleged by the complainant, it is clear that most companies can market throughout the national territory and, therefore, compete at least at the national level.</w:t>
        <w:br/>
        <w:t>- The share of GALLARDO, the sum of LASAO and FERROMALLAS, in the market for the manufacture and sale of meshes in Spain is between [10-20%] and [30-40%] in the reported period (2009-2011), remaining below or being similar to that of another competitor, Aceros para la Construcción S.A, which markets its product in that same market. While it is true that GALLARDO's share has increased during that period, other competitors have also seen their share increase during that same period, including the one with the largest market share, namely, Aceros para la Construcción S.A.</w:t>
        <w:br/>
        <w:t>- The existence of relevant competitors and potential competition due to the lack of significant entry barriers and the possibility of entry by competitors from other countries in the European Union would limit the market power that GALLARDO could have.</w:t>
        <w:br/>
        <w:t>This leads the DI to conclude that in the market for welded steel meshes for reinforced concrete, “there does not appear to be a dominant position on the part of GALLARDO, in light of the market characteristics themselves, especially market shares, the presence of other close competitors, and the absence of significant entry barriers.” The DI adds that there would also be no dominant position if the broader product market of long steel products were considered.</w:t>
        <w:br/>
        <w:t>Notwithstanding the finding of the absence of a dominant position, a necessary condition for incurring in abuse infringement, the DI analyzes whether the conduct itself can be classified as abusive and concludes that, taking into account the characteristics of the reported company, which is a manufacturer of the raw material, wire rod, as well as the market situation in construction when the reported facts occurred, and the requirements for prices to be considered predatory and in abuse of dominant position, there could be a rational explanation for the alleged lower prices of Gallardo without these constituting an abuse.</w:t>
        <w:br/>
        <w:t>In any case, the DI concludes that “Regardless of this, it can be concluded that there are no indications of infringement of Article 2 of the LDC, given that there has been no...</w:t>
      </w:r>
    </w:p>
    <w:p>
      <w:r>
        <w:rPr>
          <w:b/>
        </w:rPr>
        <w:t>[Pages 13–15]</w:t>
      </w:r>
    </w:p>
    <w:p>
      <w:r>
        <w:t>accredited the dominant position of GALLARDO in the national market of welded meshes."</w:t>
      </w:r>
    </w:p>
    <w:p>
      <w:r>
        <w:t>13.2 Regarding the distortion of free competition by alleged unfair acts carried out in this case by GALLARDO - FERROMALLAS and LASAO - INMECASA, GALLEGA DE MALLAS, S.L. and REDONDOS PREFORMADOS, S.L., consisting of the non-compliance with section 1, paragraph 4, of article 32 of the EHE 08 standard, as well as selling below cost, the DI recalls that article 3 of the LDC prohibits acts of unfair competition that, by distorting free competition, affect the public interest.</w:t>
      </w:r>
    </w:p>
    <w:p>
      <w:r>
        <w:t>The DI reminds that the LDC is a public law standard that pursues a public interest objective, and the doctrine of the CNC Council and its predecessor, the Competition Defense Tribunal (TDC), states that for the application of article 3 of the LDC, "the concurrence of two requirements is necessary: the existence of an act of unfair competition in accordance with Law 3/1991, of January 10, on Unfair Competition (hereinafter, LCD) and the impact on the public interest." It adds that, "the purpose of article 3 LDC is not to repress any type of disloyalty, nor to directly protect the interests of the harmed competitors, as this is the purpose of the Unfair Competition Law but not of the LDC."</w:t>
      </w:r>
    </w:p>
    <w:p>
      <w:r>
        <w:t>Finally, it collects the criteria of the CNC Council in recent resolutions (RCNC of December 15, 2011, expte. S/0350/11 and January 16, 2012, expte. S/0353/11) according to which, "in the face of a complaint of infringement of article 3 of the LDC, the instructing body must analyze, first of all, the concurrence of the prerequisite of impact on the public interest, taking into account factors such as the nature of the conduct, the structure of the market, the good or service affected, etc.; that is, the legal and economic context affected, so that if after this analysis there are no indications that the conduct is capable of distorting effective competition, it is not only superfluous to carry out a legal qualification of the conduct from the perspective of Unfair Competition Law, but such qualification lacks any legal relevance to the extent that the prerequisite that enables the Competition Authority to sanction acts of unfair competition does not concur."</w:t>
      </w:r>
    </w:p>
    <w:p>
      <w:r>
        <w:t>Having carried out this analysis of the impact on the public interest, it concludes that "considering that the complainant refers to alleged anticompetitive conduct by five manufacturers of welded meshes that market throughout the national territory, and analyzing the very characterization of the welded mesh market already described, it cannot be considered that the reported facts could affect the public interest," even "in the hypothetical case that the reported parties were selling adulterated welded meshes, violating the EHE 08 standard, or making sales below cost."</w:t>
      </w:r>
    </w:p>
    <w:p>
      <w:r>
        <w:t>Notwithstanding the above, the DI considers that, "in light of what has been indicated by the General Subdirectorate of Quality and Industrial Safety of the Ministry of Industry, Energy and Tourism, the possible non-compliance with the EHE 2008 may be brought to the attention of, and if applicable, sanctioned by the competent authorities for this purpose, that is, in this case, by the Permanent Commission of Concrete, attached to the General Subdirectorate of Regulation and Technical Studies of the Ministry of Development and/or by the Industry authorities of the Autonomous Communities in their territory. In this regard, the General Subdirectorate of Quality and Industrial Safety itself has stated that it has forwarded the writings received from GP to the Industry authorities of the corresponding Autonomous Communities for their knowledge and appropriate actions" (folio 537).</w:t>
      </w:r>
    </w:p>
    <w:p>
      <w:r>
        <w:t>14. The CNC Council deliberated and issued this Resolution in its session on September 26, 2012.</w:t>
      </w:r>
    </w:p>
    <w:p>
      <w:r>
        <w:t>LEGAL GROUNDS</w:t>
      </w:r>
    </w:p>
    <w:p>
      <w:r>
        <w:t>FIRST.- Legal basis and object. Article 49.3 of Law 15/2007, of July 3, on the Defense of Competition states that, "The Council of the National Competition Commission, at the proposal of the Directorate of Investigation, may agree not to initiate the procedures derived from the alleged commission of the conducts prohibited by articles 1, 2, and 3 of this Law and the filing of the proceedings when it considers that there are no indications of infringement of the Law."</w:t>
      </w:r>
    </w:p>
    <w:p>
      <w:r>
        <w:t>On the other hand, article 27.1 of Royal Decree 261/2008, of February 22, which approves the Regulation on the Defense of Competition, stipulates that "In order for the Council of the National Competition Commission to agree not to initiate proceedings and to file the proceedings in the terms established in articles 44 and 49.3 of Law 15/2007, of July 3, the Directorate of Investigation will forward the received complaint, the prior proceedings carried out, if applicable, and a proposal for filing."</w:t>
      </w:r>
    </w:p>
    <w:p>
      <w:r>
        <w:t>In this file, the DI, based on the cited provisions, proposes to the Council, "the non-initiation of the sanctioning procedure, as well as the filing of the proceedings followed as a result of the complaints filed by GP MANUFACTURAS DEL ACERO S.A., considering that there are no indications of infringement of the aforementioned Law."</w:t>
      </w:r>
    </w:p>
    <w:p>
      <w:r>
        <w:t>It also proposes that, "...without prejudice to the specific actions that the General Subdirectorate of Quality and Industrial Safety of the Ministry of Industry, Energy and Tourism may have carried out in this regard, it is considered that the complaints filed by GP MANUFACTURAS DEL ACERO S.A., as they refer to a possible non-compliance with section 1, paragraph 4, of article 32 of the EHE 08 standard (folios 1-39, 46-65, 82-326, 403-455, 459-503, and 539) could be brought to the attention of the Industry authorities of the Autonomous Communities in the affected territories, for the appropriate purposes."</w:t>
      </w:r>
    </w:p>
    <w:p>
      <w:r>
        <w:t>Therefore, taking into consideration the cited regulations, the object of this Resolution is to determine whether, in light of the information available from the reserved information phase, the proposal submitted to this Council is in accordance with the Law due to the absence of indications of infringement in the conduct reported and analyzed by the instructing body.</w:t>
      </w:r>
    </w:p>
    <w:p>
      <w:r>
        <w:t>SECOND.- Conduct. In view of the complaints filed by GP before the competition bodies (the CNC and the Competition Defense Agency of Andalusia) and those received in these bodies through the Union of Consumers of Andalusia-UCA/UCE (UCA), as well as the information collected within the framework of the actions carried out by the DI and which is included in the file, this Council considers the proposal that has been submitted to it, not to initiate the sanctioning procedure and to file the actions carried out for not appreciating indications of infringement of article 2, nor of article 3 of the LDC, which were the subject of the complaint.</w:t>
      </w:r>
    </w:p>
    <w:p>
      <w:r>
        <w:t>Article 2 of the LDC</w:t>
      </w:r>
    </w:p>
    <w:p>
      <w:r>
        <w:t>What is first reported is a possible infringement of article 2 of the LDC, consisting of an abuse of dominant position by GALLARDO and its companies through the application of predatory pricing in the market of welded meshes during the years 2009, 2010, and 2011.</w:t>
      </w:r>
    </w:p>
    <w:p>
      <w:r>
        <w:t>The Council must first analyze whether the pricing policy carried out by the accused, the GALLARDO group, infringes article 2 of the LDC, which prohibits "the abusive exploitation by one or several companies of their dominant position in all or part of the national market."</w:t>
      </w:r>
    </w:p>
    <w:p>
      <w:r>
        <w:t>And as the DI rightly states, "the declaration of an infringement of article 2 of the LDC requires the cumulative demonstration of the dominant position of the company and the abusive nature of the investigated practice. Therefore, it is sufficient that one of the two requirements is not demonstrated for the infringement not to be established."</w:t>
      </w:r>
    </w:p>
    <w:p>
      <w:r>
        <w:t>As can be inferred from the literal wording of the cited provision, what the LDC prohibits is not the existence of a dominant position, but the abusive exploitation that may be carried out from that dominant position by the companies that enjoy it. Therefore, when analyzing a supposedly abusive conduct, the first question is to determine whether it has been carried out from a dominant position, as otherwise, it is unnecessary to continue the investigation of the conduct.</w:t>
      </w:r>
    </w:p>
    <w:p>
      <w:r>
        <w:t>Thus, what the Council must first examine is whether there are indications that GALLARDO and more specifically, its two companies, FERROMALLAS and LASAO, enjoy a dominant position in the relevant market, so that, if so, secondly, it can proceed to analyze whether the reported conduct shows indications of being abusive in light of the LDC.</w:t>
      </w:r>
    </w:p>
    <w:p>
      <w:r>
        <w:t>In the Background of Facts of this Resolution (AH 11), the analysis prepared by the DI on the determination of the market affected by the conduct is included.</w:t>
      </w:r>
    </w:p>
    <w:p>
      <w:r>
        <w:rPr>
          <w:b/>
        </w:rPr>
        <w:t>[Pages 16–18]</w:t>
      </w:r>
    </w:p>
    <w:p>
      <w:r>
        <w:t>the necessary resources to carry out their functions effectively. This is essential to ensure that the standards are met and that any potential non-compliance is addressed promptly. The Council emphasizes the importance of maintaining high-quality standards in the industry to protect public interest and ensure fair competition among market participants.</w:t>
      </w:r>
    </w:p>
    <w:p>
      <w:r>
        <w:t>In light of the above, the Council concludes that there are no rational indications of infringement of Article 2 LDC or Article 3 LDC in the present case, and therefore, it is appropriate to file the proceedings carried out by the DI.</w:t>
      </w:r>
    </w:p>
    <w:p>
      <w:r>
        <w:rPr>
          <w:b/>
        </w:rPr>
        <w:t>[Pages 19–19]</w:t>
      </w:r>
    </w:p>
    <w:p>
      <w:r>
        <w:t>knowledge of it. For these purposes, it is deemed appropriate to forward this Resolution to the Permanent Commission of Concrete, attached to the General Subdirectorate of Regulation and Technical Studies of the Ministry of Development, so that it may be conveyed to the competent authorities of the Autonomous Communities in the affected territories.</w:t>
      </w:r>
    </w:p>
    <w:p>
      <w:r>
        <w:t>Having seen the cited provisions and the others of general application, the Council of the National Competition Commission in the composition mentioned at the beginning,</w:t>
      </w:r>
    </w:p>
    <w:p>
      <w:r>
        <w:t>RESOLVES</w:t>
      </w:r>
    </w:p>
    <w:p>
      <w:r>
        <w:t>SOLE.- In accordance with article 49.3 of Law 15/2007, of July 3, on the Defense of Competition, not to initiate sanctioning proceedings and to archive the reserved proceedings followed under number S/0399/12, GRUPO GALLARDO, considering that there are no indications of infringement of articles 2 and 3 of the same Law.</w:t>
      </w:r>
    </w:p>
    <w:p>
      <w:r>
        <w:t>This Resolution shall be communicated to the Directorate of Investigation and notified to the complainant and the complained parties, informing them that it concludes the administrative procedure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