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https://www.cnmc.es/expedientes/s040412</w:t>
      </w:r>
    </w:p>
    <w:p>
      <w:r>
        <w:t>Pages translated : 35</w:t>
      </w:r>
    </w:p>
    <w:p/>
    <w:p>
      <w:r>
        <w:rPr>
          <w:b/>
        </w:rPr>
        <w:t>[Pages 1–3]</w:t>
      </w:r>
    </w:p>
    <w:p>
      <w:r>
        <w:t xml:space="preserve">RESOLUTION (File S/0404/12 AENA Commercial Services)  </w:t>
        <w:br/>
        <w:t xml:space="preserve">COMPETITION CHAMBER  </w:t>
        <w:br/>
        <w:t xml:space="preserve">President  </w:t>
        <w:br/>
        <w:t xml:space="preserve">Mr. José María Marín Quemada  </w:t>
        <w:br/>
        <w:t xml:space="preserve">Counselors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January 2, 2014.  </w:t>
        <w:br/>
        <w:t xml:space="preserve">THE COMPETITION CHAMBER of the National Commission of Markets and Competition, with the composition as stated above, has issued the following Resolution in the Sanctioning File S/0404/12 AENA Commercial Services, instructed by the Directorate of Investigation of the National Competition Commission (now both extinct) for restrictive competition practices prohibited under Article 1 of Law 16/1989, of July 17, on the Defense of Competition; under Article 1 of Law 15/2007, of July 3, on the Defense of Competition, in relation and concordance with the provisions of Royal Decree 261/2008, of February 22, which approves the Regulation on the Defense of Competition; and under Article 101 of the Treaty on the Functioning of the European Union.  </w:t>
        <w:br/>
        <w:t xml:space="preserve">The rapporteurs have been the Counselors, Mr. Fernando Torremocha y García-Sáenz and Mr. Benigno Valdés Díaz.  </w:t>
        <w:br/>
        <w:t xml:space="preserve">BACKGROUND  </w:t>
        <w:br/>
        <w:t xml:space="preserve">FIRST.- The extinct Directorate of Investigation of the National Competition Commission, under the provisions of Article 49.2 of Law 15/2007, of July 3, on the Defense of Competition, initiated a reserved information S/0404/12 AENA Commercial Services.  </w:t>
        <w:br/>
        <w:t xml:space="preserve">The reserved information was based on inspections carried out on October 26, 2011, and January 11, 2012, at various companies and associations in the market for car rental without a driver, within the framework of File S/0380/11 Rental Cars.  </w:t>
        <w:br/>
        <w:t xml:space="preserve">SECOND.- The extinct Directorate of Investigation, on February 13, 2012, notified AENA of the agreement to deduce testimony from individuals, by which "it ordered the incorporation into the reference file of documentation contained in File S/0380/11 and granted a period of five days to submit allegations regarding this and to request, if applicable, the confidential nature of those documents that it deemed appropriate, providing the censored version of the same" (Pages 2 to 436).  </w:t>
        <w:br/>
        <w:t xml:space="preserve">And, on February 20, 2012, the extinct Directorate of Investigation notified a new request to AENA (Pages 437 to 441), which was answered on March 2 (Pages 449 to 454).  </w:t>
        <w:br/>
        <w:t xml:space="preserve">The extinct Directorate of Investigation, on April 25, 2012, and once analyzed the information provided by AENA in response to said request; incorporated into the Sanctioning File, by agreement to deduce testimony, "agreed to declare confidential by default certain information from the writing for certain companies based on the airport where they had obtained concession of spaces for the exercise of the activity of car rental without a driver" (Pages 1465 to 1481).  </w:t>
        <w:br/>
        <w:t xml:space="preserve">THIRD.- The Directorate of Investigation, on February 24, 2012, and in accordance with the provisions of Article 49.1 of Law 15/2007, of July 3, on the Defense of Competition, agreed and notified the initiation of sanctioning proceedings against AENA (S/0404/12 AENA Commercial Services) for restrictive competition practices prohibited in Article 1 of Law 15/2007 on the Defense of Competition and in Article 101 of the Treaty on the Functioning of the European Union (Pages 442 to 447).  </w:t>
        <w:br/>
        <w:t xml:space="preserve">Consequently, (1) HERTZ, on March 5, 2012, submitted a document requesting "to be granted the status of interested party in the Sanctioning File S/0404/12 and to be given access to the non-confidential version of all documents contained therein" (Pages 455 to 457); and (2) AENA, on March 16, 2012, submitted a document requesting "a copy of the complaint document" (Page 482).  </w:t>
        <w:br/>
        <w:t xml:space="preserve">The extinct Directorate of Investigation, on March 20, 2012, responded to said request "that no such document exists, as no complaint has been filed in this file, this procedure having been initiated ex officio, in accordance with the provisions of Article 49.1 LEC" (Pages 483 to 487).  </w:t>
        <w:br/>
        <w:t xml:space="preserve">FOURTH.- The extinct Directorate of Investigation, on April 10, 2012, in accordance with the provisions of Article 29 of Royal Decree 261/2008, agreed and notified the extension of the initiation agreement of the Sanctioning File S/0404/12 to the following companies: (1) Autotransporte Turístico Español (ATESA); (2) Aurigacrown Car Hire S.L. (AURIGACROWN); (3) Avis Alquile un coche (AVIS); (4) Autos Cabrera Medina S.L. (CABRERA MEDINA); (5) Canary Islands Car S.L. (CICAR); (6) Centauro Rent a Car S.L. (CENTAURO); (7) Coral Car Rental S.L. (CORAL CAR); (8) Europcar IB S.A. (EUROPCAR); (9) Goldcar Spain S.L. (GOLDCAR); (10) Hertz España S.L. (HERTZ); (11) Owners Cars S.A. (OWNERS CARS); (12) Paylesscar S.A. (PAYLESSCAR); (13) Record-Go Alquiler Vacacional S.A. (RECORD-GO); (14) Rent a Car Piñero (PIÑERO); (15) Top Car Auto Reisen S.L. (TOP CAR); (16) Sixt Rent Car S.L. (SIXT); (17) Solmar Alquiler de Vehículos S.L. (SOLMAR); and (18) Special Prices Auto Reisen S.L. (AUTO REISEN).  </w:t>
        <w:br/>
        <w:t xml:space="preserve">The extinct Directorate of Investigation, on April 12, 2012, sent a request to CINCO EMPRESAS REUNIDAS (5CARS) requiring information regarding the structure of ownership and control and with the market in which the company operates (Pages 1248 to 1253 and 6187 to 6188).  </w:t>
        <w:br/>
        <w:t xml:space="preserve">On April 16, 17, 19, and 24, 2012, it sent requests for information to AUTO REISEN, CENTAURO, GOLDCAR, RECORD-GO, EUROPCAR IB, and HERTZ; to SOLMAR and SIXT; to CORALCAR and ATESA; to AVIS and AURIGACROWN; to OWNERS, TOP CAR, and PIÑERO; and to PAYLESS, CABRERA MEDINA, and CICAR (Pages 1254 to 1348, 1431 to 1433, 1465 to 1481, 1551 to 1558, 1569 to 1579, 1581 to 1589, 1590 to 2373, 2374 to 2625, 2637 to 2643, 2652 to 2659, 2660 to 5700, 5701 to 6155).  </w:t>
        <w:br/>
        <w:t xml:space="preserve">The now extinct Directorate of Investigation, in light of the documentation provided and examined, declared confidentiality.  </w:t>
        <w:br/>
        <w:t xml:space="preserve">FIFTH.- The extinct Directorate of Investigation, on December 17, 2012, in accordance with the provisions of Article 29 of Royal Decree 261/2008, agreed and notified the extension of the agreement of the Sanctioning File S/0404/12 to (1) Aurigacrown Web S.L.; (2) Aena Aeropuertos S.A.; (3) Citer S.A.; (4) Avis Europe Overseas Ltd; (5) Grupo Empresarial Cabrera Medina S.L.; (6) Centauro S.L.; (7) Eurazeo S.A.; (8) Hertz Global Holding Inc; (9) Goldcar Renting S.L.; (10) Go de Alquiler S.L.; and (11) Sixt Aktiengesellschaft.  </w:t>
        <w:br/>
        <w:t>SIXTH.- As a consequence of the actions taken, the now extinct Directorate of Investigation, in accordance with Article 50.3 of Law 15/2007, of July 3, on the Defense of Competition and Article 33.1 of Royal Decree 261/2008, considers that the exchange of commercially sensitive information has been carried out by the aforementioned companies with the collaboration of Aeropuertos Españoles y Navegación Aérea (AENA) and Aena Aeropuertos S.A., through the exchange of sensitive information among car rental companies without a driver renting commercial spaces from AENA, present at various airports from April 19, 1996, to September 5, 2012, which constitutes a practice prohibited by Article 1 of Law 16/1989, of July 17, on the Defense of Competition; Article 1 of Law 15/2007, of July 3, on the Defense of Competition and Royal Decree 261/2008; and Article 101 of the Treaty on the Functioning of the European Union.”</w:t>
      </w:r>
    </w:p>
    <w:p>
      <w:r>
        <w:rPr>
          <w:b/>
        </w:rPr>
        <w:t>[Pages 4–6]</w:t>
      </w:r>
    </w:p>
    <w:p>
      <w:r>
        <w:t xml:space="preserve">“RENT A CAR PIÑERO S.L. has not been proven to have participated in the aforementioned practice of exchanging commercially sensitive information.” Therefore, in accordance with the provisions of Article 50.3 of Law 15/2007, the notification of the Statement of Facts is agreed upon to the interested companies, granting them a period of fifteen days to respond and, if applicable, propose any evidence they deem pertinent. The now-defunct Directorate of Investigation was aware of the receipt of this notification on December 28 and 31, 2012; January 2, 3, and 4, 2013, from (1) AENA; (2) AENA AEROPUERTOS; (3) GOLDCAR RENTING; (4) GOLDCAR; (5) CENTAURO; (6) CENTAURO S.L.; (7) EUROPCAR; (8) HERTZ; (9) AVIS; (10) ATESA; (11) SIXT; (12) RECORD GO; (13) GO DE ALQUILER; (14) AUTO REISEN; (15) CORAL CAR; (16) AURIGACROWN; (17) AURIGA CROWN WEB; (18) EURAZEO; (19) SOLMAR; (20) AVIS EUROPE OVERSEAS LTD; (21) TOP CAR; (22) HERTZ GLOBAL HOLDINGS INC; (23) OWNERS CARS; (24) RENT A CAR PIÑERO S.L.; (25) CITER; (26) SIXT AG; (27) PAYLESSCAR; (28) GRUPO EMPRESARIAL CABRERA MEDINA; (29) CABRERA MEDINA; and (30) CICAR (Pages 9087 to 9345). On different dates, the interested parties have submitted documentation, requested an extension of the deadline to respond and plead, reviewed the file, etc. (Pages 9374 to 12296…..).  </w:t>
        <w:br/>
        <w:t xml:space="preserve">SEVENTH.- In general, the interested parties in this Sanctioning File S/0404/12 have presented allegations, which can be grouped into: common and particular. In any case, and generally speaking, it should be noted that in these allegations (a) the facts considered proven have not been disputed, that is, the carrying out of the exchanges of information; (b) there are nuances regarding the duration of the conduct; and (c) they disagree on the legal assessment of the now-defunct Directorate of Investigation. The common allegations are (1) violation of the right to defense; (2) market delimitation; (3) impact on the Community market; (4) duration of the information; (5) obligation of the exchange of information, derived from the terms of reference; (6) legitimate trust; (7) illegality of the exchanges of information; (8) effects on the market; (9) conduct of lesser importance; (10) conventional termination; (11) assigned responsibilities; (12) necessary collaborator; and (13) practice subsumable in File S/0380/11.  </w:t>
        <w:br/>
        <w:t xml:space="preserve">EIGHTH.- After the notification of the Statement of Facts, the now-defunct Directorate of Investigation agreed to suspend the maximum resolution period of the file until the Council of the National Commission of Competition was informed and resolved on the appeal filed by AVIS on October 11, 2012, against the decision denying the conventional termination in relation to File R/0124/12 AVIS. The Council of the National Commission of Competition, in its Resolution of February 21, 2013, dismissed said appeal, denying the initiation of actions aimed at conventional termination, thus resuming the calculation of the maximum period for resolution.  </w:t>
        <w:br/>
        <w:t xml:space="preserve">NINTH.- This Competition Chamber of the National Commission of Markets and Competition, on November 22, 2013, made the Agreement to (1) admit the documentary evidence provided by the parties (2) deny the holding of a hearing and (3) summon them, for a period of ten days, to formulate any allegations they deem appropriate. The granted period ended on December 21, and the parties that submitted allegations are:  </w:t>
        <w:br/>
        <w:t xml:space="preserve"> RECORD-GO ALQUILER VACACIONAL S.A., and GO DE ALQUILER S.L., in a document dated December 16.  </w:t>
        <w:br/>
        <w:t xml:space="preserve"> GOLDCAR RENTING S.L., and GOLDCAR SPAIN in a document that was received by this Commission on December 17.  </w:t>
        <w:br/>
        <w:t xml:space="preserve"> AVIS ALQUILE UN COCHE S.A., in a document that was received by this Commission on December 18.  </w:t>
        <w:br/>
        <w:t xml:space="preserve"> EUROCAR IB S.A., in a document that was received by this Commission on December 18.  </w:t>
        <w:br/>
        <w:t xml:space="preserve"> and EURAZEO S.A., in a document that was received by this Commission on December 19.  </w:t>
        <w:br/>
        <w:t xml:space="preserve">PROVEN FACTS  </w:t>
        <w:br/>
        <w:t xml:space="preserve">FIRST.- The interested parties in this Sanctioning File are:  </w:t>
        <w:br/>
        <w:t xml:space="preserve">1st AEROPUERTOS ESPAÑOLES Y NAVEGACIÓN AEREA (AENA).  </w:t>
        <w:br/>
        <w:t xml:space="preserve">2nd AENA AEROPUERTOS S.A.  </w:t>
        <w:br/>
        <w:t xml:space="preserve">3rd AUTOTRANSPORTE TURISTICO ESPAÑOL S.A. (ATESA) was acquired in 1989 by the French group PSA PEUGEOT-CITROEN.  </w:t>
        <w:br/>
        <w:t xml:space="preserve">4th CITER S.A. has two subsidiaries: it has controlled ATESA since January 2008; and CPLA.  </w:t>
        <w:br/>
        <w:t xml:space="preserve">5th AURIGACROWN CAR HIRE S.L. was established in early 2006 from the merger of CROWM (Crown Car Hire) and AURIGA (Auriga Rent a Car).  </w:t>
        <w:br/>
        <w:t xml:space="preserve">6th AURIGACROWN WEB S.L.  </w:t>
        <w:br/>
        <w:t xml:space="preserve">7th AVIS ALQUILE UN COCHE S.A.  </w:t>
        <w:br/>
        <w:t xml:space="preserve">8th AVIS EUROPE OVERSEAS LTD.  </w:t>
        <w:br/>
        <w:t xml:space="preserve">9th AUTOS CABRERA MEDINA S.L.  </w:t>
        <w:br/>
        <w:t xml:space="preserve">10th GRUPO EMPRESARIAL CABRERA MEDINA S.L., which owns 76.43% of Autos Cabrera Medina; and 23.75% Herederos Cabrera Medina; 100% of Cicar; and 50% of PaylessCar and the other 50% to Cicar.  </w:t>
        <w:br/>
        <w:t xml:space="preserve">11th CANARY ISLAND CAR S.L., which is 100% owned by Grupo Empresarial Cabrera Medina under its various corporate names.  </w:t>
        <w:br/>
        <w:t xml:space="preserve">12th CENTAURO RENT A CAR S.L., with its partners being: Centauro S.L., at 80% and Viajes Dinamic at 20%.  </w:t>
        <w:br/>
        <w:t xml:space="preserve">13th CENTAURO S.L.  </w:t>
        <w:br/>
        <w:t xml:space="preserve">14th CORAL CAR RENTAL S.L.  </w:t>
        <w:br/>
        <w:t xml:space="preserve">15th EUROPCAR IB S.A. is 100% controlled by Europcar International. It positions itself as a leading company in the car rental market in Spain with a market share exceeding 15%.  </w:t>
        <w:br/>
        <w:t xml:space="preserve">16th EURAZEO S.A., which on July 1, 2006 acquired control of Grupo Europcar, holding 85% of the capital and voting rights.  </w:t>
        <w:br/>
        <w:t xml:space="preserve">17th GOLDCAR SPAIN S.L., which since December 29, 2003 has been 99.99% owned by Goldcar Renting S.L.  </w:t>
        <w:br/>
        <w:t>18th GOLDCAR RENTING S.L.</w:t>
      </w:r>
    </w:p>
    <w:p>
      <w:r>
        <w:rPr>
          <w:b/>
        </w:rPr>
        <w:t>[Pages 7–9]</w:t>
      </w:r>
    </w:p>
    <w:p>
      <w:r>
        <w:t xml:space="preserve">19th HERTZ DE ESPAÑA S.L.  </w:t>
        <w:br/>
        <w:t xml:space="preserve">20th HERTZ GLOBAL HOLDINGS INC., of the Hertz group.  </w:t>
        <w:br/>
        <w:t xml:space="preserve">21st OWNERS CARS S.A.  </w:t>
        <w:br/>
        <w:t xml:space="preserve">22nd PAYLESSCAR S.A., belongs to Grupo Empresarial Cabrera Medina.  </w:t>
        <w:br/>
        <w:t xml:space="preserve">23rd RECORD-GO ALQUILER VACACIONAL S.A.  </w:t>
        <w:br/>
        <w:t xml:space="preserve">24th GO DE ALQUILER S.L., owns 100% of Record-Go.  </w:t>
        <w:br/>
        <w:t xml:space="preserve">25th RENT A CAR PIÑERO S.A., is 100% owned by Clinaria Piñero S.L., and on August 16, 2010, it entered into a franchise agreement with Europcar.  </w:t>
        <w:br/>
        <w:t xml:space="preserve">26th TOP CAR AUTO REISEN S.L.  </w:t>
        <w:br/>
        <w:t xml:space="preserve">27th SIXT RENT A CAR S.L.  </w:t>
        <w:br/>
        <w:t xml:space="preserve">28th SIXT AKTIENGESELLCHAFT owns 100% of Sixt.  </w:t>
        <w:br/>
        <w:t xml:space="preserve">29th SOLMAR ALQUILER DE VEHICULOS S.L.  </w:t>
        <w:br/>
        <w:t xml:space="preserve">30th SPECIAL PRICES AUTO REISEN S.L.  </w:t>
        <w:br/>
        <w:t>SECOND.- The relevant market is the short-term rental of unaccompanied cars marketed at Spanish airports. Although the car rental service operates in many locations across the geography, in Spain there is a clear segmentation of the market: the marketing offices located at the airports and those located outside of them. The reason lies in the fact that, being Spain a country that receives each year a number of tourists greater than its own population, the location of rental points at the airports themselves constitutes an important incentive for companies that rent vehicles. This represents a significant competitive advantage compared to other companies that offer the same services in locations that require the customer to travel to them from the airports themselves.</w:t>
      </w:r>
    </w:p>
    <w:p>
      <w:r>
        <w:t>Since the conduct under investigation involves marketing offices located throughout the national territory, the affected geographic market is national. However, given that more than 85% of tourists come from European countries, which amounts to 45 million from the EU and that most use airplanes as a means of transport for their arrival and departure from Spain, the practice investigated in this file mainly affects citizens of the Union; therefore, the conduct under investigation could affect the community market as a whole, making Article 101 of the Treaty on the Functioning of the European Union applicable.</w:t>
      </w:r>
    </w:p>
    <w:p>
      <w:r>
        <w:t>THIRD.- Based on the COMPLAINT FROM SOLMAR (August 1, 2011) and the subsequent inspections carried out in the context of the reserved information, the existence of reports sent was confirmed, (1) monthly by AENA until June 8, 2011; (2) by AENA AEROPUERTOS from that date; and (3) to car rental companies concessionaires at airports, which would contain commercially sensitive information from each of them that, with the intermediation of AENA and AENA AEROPUERTOS, is subsequently shared by all of them. The now-defunct Directorate of Investigation requested AENA to provide documentation in this regard, which it did, and is found in Folios 38 to 1165 and 6386 to 6497) where it is sufficiently proven "the sending of reports containing monthly billing and the number of contracts signed by these companies, with monthly periodicity and disaggregated nature." This was also done by all inspected companies (Folios 4465 to 5229; 1401 to 1425; 2637 to 2651 and 8539 to 8552; 5701 to 5824: 1551 to 1558; 1559 to 1579; 1590 to 2373; 2374 to 2625; 2652 to 2659; 2660 to 2674; 2675 to 3616; 3617 to 3764; 3765 to 4464; 5230 to 5486; 5500 to 5692; 5825 to 6035; 6036 to 6097; and 6098 to 6155). It is highly significant that the sending of and for the occupancy of places, in order to reserve site and places, had a monthly periodicity and not annual.</w:t>
      </w:r>
    </w:p>
    <w:p>
      <w:r>
        <w:t>In their allegations, they state: (1) the obligation to transmit this commercially sensitive information and its transfer to the other concessionaire companies at each airport; (2) this in compliance with the provisions established in the Terms of Reference for the concession tenders called by AENA for the operation of the unaccompanied vehicle rental activity at airports; and (3) this, with the aim of collecting fees and the allocations of places in the concessions (Folios 18 and 6401 and 6497). Such prohibited conducts are documented (1) with the emails sent by the Head of the Commercial Division of Málaga-Costa del Sol Airport (Folios 8602 to 8605 and 8621 to 8622); (2) information provided by Hertz (Folios 1611 1663, 1681, 1707, 1726, 1754, 1763, 1785, 1819, 1841, 1895, 1914, 1971 and 2027); (3) information provided by Aena Aeropuertos (Folios 111 to 172, 578 to 608, 609 to 649, 766 to 873, 877 to 896, 36, 513 to 563 and 609 to 649); (4) email sent by Aena to companies based in Barcelona (Folios 114 to 123).</w:t>
      </w:r>
    </w:p>
    <w:p>
      <w:r>
        <w:t>It must be concluded that the documents collected, as well as those requested from the parties and provided by them, prove conclusively that the alleged conducts form a harmonious, unique, and inseparable whole. Furthermore, it is highly significant that the two cited conditioning circumstances of these conducts: necessity and periodicity, are qualified in terms of evidence, as all the investigated and accused companies REQUEST THE CONFIDENTIALITY OF THE DOCUMENTATION PROVIDED. And not only that, they assume the commission of the prohibited conducts attributed to them, although they question "the existence of a single and continued infringement," understanding it rather as "the existence of specific and isolated actions" and therefore "the duration of the infringement: 1996 (start) and 2012 (end)."</w:t>
      </w:r>
    </w:p>
    <w:p>
      <w:r>
        <w:t>FOURTH.- In view of the actions taken and in accordance with the provisions of Article 33.1 of Royal Decree 262/2008, of February 22, "it is considered that the exchange of commercially sensitive information between unaccompanied car rental companies, lessees of commercial spaces at the airports of La Coruña, Asturias, Alicante, Almería, Barcelona, Bilbao, El Hierro, Fuerteventura, Gran Canaria, Granada, Ibiza, Jerez de la Frontera, La Palma, Lanzarote, Madrid, Málaga, Menorca, Murcia, Palma de Mallorca, Pamplona, Santiago de Compostela, Reus, San Sebastián, Santander, Tenerife Norte, Tenerife Sur, Valencia, Valladolid, Vigo, Vitoria, and Zaragoza, with the necessary collaboration of AENA and AENA AEROPUERTOS, from April 19, 1996, to September 5, 2012, constitutes a practice prohibited by Article 1 of Law 16/1989, of July 17, on the Defense of Competition; by Article 1 of Law 15/2007, of July 3, on the Defense of Competition; and by Article 101 of the Treaty on the Functioning of the European Union.</w:t>
      </w:r>
    </w:p>
    <w:p>
      <w:r>
        <w:t xml:space="preserve">FIFTH.- Consequently, the particularized and detailed delimitation of the conducts attributed to the aforementioned companies, regarding the duration of the cited conducts (time period) is as follows:  </w:t>
        <w:br/>
        <w:t xml:space="preserve">- April 19, 1996, to February 2, 2012 AENA  </w:t>
        <w:br/>
        <w:t xml:space="preserve">- ATESA  </w:t>
        <w:br/>
        <w:t>- AVIS</w:t>
      </w:r>
    </w:p>
    <w:p>
      <w:r>
        <w:rPr>
          <w:b/>
        </w:rPr>
        <w:t>[Pages 10–12]</w:t>
      </w:r>
    </w:p>
    <w:p>
      <w:r>
        <w:t xml:space="preserve">AVIS EUROPE (Solidarity)  </w:t>
        <w:br/>
        <w:t xml:space="preserve">HERTZ  </w:t>
        <w:br/>
        <w:t xml:space="preserve"> 1997 to March 2011 SOLMAR  </w:t>
        <w:br/>
        <w:t xml:space="preserve"> January 1998 to April 2003 CENTAURO  </w:t>
        <w:br/>
        <w:t xml:space="preserve"> July-August 2002 to February 2012 AURIGACROWN  </w:t>
        <w:br/>
        <w:t xml:space="preserve">CABRERA-MEDINA  </w:t>
        <w:br/>
        <w:t xml:space="preserve">CICAR  </w:t>
        <w:br/>
        <w:t xml:space="preserve">CORAL CAR  </w:t>
        <w:br/>
        <w:t xml:space="preserve">OWNERS CARS  </w:t>
        <w:br/>
        <w:t xml:space="preserve">RECORD-GO  </w:t>
        <w:br/>
        <w:t xml:space="preserve">TOP CAR  </w:t>
        <w:br/>
        <w:t xml:space="preserve">AUTO REISEN  </w:t>
        <w:br/>
        <w:t xml:space="preserve"> 2005 to February 2012 GO ALQUILER  </w:t>
        <w:br/>
        <w:t xml:space="preserve"> June 2006 to September 5, 2012 EUROPCAR  </w:t>
        <w:br/>
        <w:t xml:space="preserve"> January 2008 to February 2, 2012 CITER  </w:t>
        <w:br/>
        <w:t xml:space="preserve">GRUPO EMP CABRERA  </w:t>
        <w:br/>
        <w:t xml:space="preserve">PAYLESS CAR  </w:t>
        <w:br/>
        <w:t xml:space="preserve">SIXT  </w:t>
        <w:br/>
        <w:t xml:space="preserve"> June 30 to February 2, 2012 OWNERS CARS  </w:t>
        <w:br/>
        <w:t xml:space="preserve"> June 8 to September 5, 2012 AENA AEROPUERTOS  </w:t>
        <w:br/>
        <w:t xml:space="preserve">SIXTH.- It is a certain, undisputed, and verifiable fact that, based on and in accordance with the information gathered during inspections and responses received to information requests (evidentiary documentation), "the commercially sensitive information exchanges (subject of the investigation) not only had the capacity to reduce the independence in decision-making of the accused car rental companies, eliminating uncertainty and restricting competition, but their practice among car rental companies without drivers, concessionaires at practically all national airports, from April 19, 1996, to September 5, 2012, with the necessary collaboration of AENA and from June 8, 2011, of AENA AEROPUERTOS allowed the accused entities to weaken or suppress the degree of uncertainty regarding the competitive functioning of the affected market, resulting in a collusive outcome."  </w:t>
        <w:br/>
        <w:t xml:space="preserve">"The purpose of this exchange of commercially sensitive information was to have precise knowledge of the market shares of the accused competing car rental companies and how their sales evolved month by month, by exchanging disaggregated information from each of them, their billing data, and the number of contracts made monthly, at practically all national airports."  </w:t>
        <w:br/>
        <w:t xml:space="preserve">Regardless of the type and nature of the information exchanged among the accused companies, the high frequency (monthly) of the exchanges and the recency of the data (for the previous month) corroborate the predominance of the car rental companies with the largest market share in the car rental market.  </w:t>
        <w:br/>
        <w:t xml:space="preserve">The companies known in Europe as "the Big Five" lead the market "with direct effects contributing to consolidating the oligopoly and the barriers to entry into the Spanish market that have been pointed out in the various files and that the exchange of information only represents for consumers an increase in the risk of collusion among the largest companies in the market" (Resolution March 30, 2004 TDC File 329/02 Brewery Statistics).  </w:t>
        <w:br/>
        <w:t xml:space="preserve">All of this concludes with the obtaining of illicit profits derived from such anti-competitive practices, which is not characteristic of a competitive environment, with all the negative consequences arising from that protection in terms of innovation, quality, or price. Furthermore, these exchanges also provided them, at the very least, with stability regarding their actions in the affected market, a component that is absent when companies operate in free competition, with the consequent harm to consumers and to the general public interest.  </w:t>
        <w:br/>
        <w:t xml:space="preserve">SEVENTH.- AENA AEROPUERTOS communicated to its delegations that "the monthly billing reports and contracts should no longer be provided to the companies that had participated in the exchange of information at the airports." This communication was reiterated on May 31, 2012. This should be classified as a mitigating circumstance and not as the alleged "lack of intent of the conduct attributed" under Article 64.3.c) of Law 15/2007, of July 3, on the Defense of Competition.  </w:t>
        <w:br/>
        <w:t xml:space="preserve">EIGHTH.- On another note, it is a certain, verifiable, and undisputed fact with substantive relevance in the resolution of this Sanctioning File S/0404/12 Commercial Services AENA THE FOLLOWING:  </w:t>
        <w:br/>
        <w:t xml:space="preserve">1st COMPLAINT.- The Investigation Directorate of the National Competition Commission, both now defunct, initiated a reserved inquiry by virtue of the COMPLAINT filed by SOL MAR ALQUILER DE VEHICULOS S.L. (SOLMAR) on August 1, 2011, which was received the following day, August 2, "for alleged restrictive practices consisting of the adoption of agreements of concerted practices constituting a CARTEL for price fixing and the establishment of certain commercial conditions in the market for car rentals without drivers in the national territory."  </w:t>
        <w:br/>
        <w:t xml:space="preserve">2nd COMPANIES REPORTED. In view of the reserved information, the now defunct Investigation Directorate, on January 12, 2012, in accordance with Article 49.1 of Law 15/2007, agreed to initiate Sanctioning File S/0380/11 Car Rentals against:  </w:t>
        <w:br/>
        <w:t xml:space="preserve"> AURIGACROWN CAR HIRE S.L., and its successor Aurigacrown Web S.L.  </w:t>
        <w:br/>
        <w:t xml:space="preserve"> BARDON Y RUFO 67 S.L.  </w:t>
        <w:br/>
        <w:t xml:space="preserve"> CENTAURO RENT A CAR S.L., and its parent Centauro.  </w:t>
        <w:br/>
        <w:t xml:space="preserve"> DRIVALIA CAR RENTAL S.L.  </w:t>
        <w:br/>
        <w:t xml:space="preserve"> GOLDCAR SPAIN S.L., and its parent Goldcar Renting S.L.  </w:t>
        <w:br/>
        <w:t xml:space="preserve"> HELLE AUTO S.A.  </w:t>
        <w:br/>
        <w:t xml:space="preserve"> NEW CAR COSTA DEL SOL S.L.  </w:t>
        <w:br/>
        <w:t xml:space="preserve"> NIZA CAR S.L.  </w:t>
        <w:br/>
        <w:t xml:space="preserve"> RECORD-GO ALQUILER VACACIONAL S.A., and its parent Go de Alquiler S.L.  </w:t>
        <w:br/>
        <w:t xml:space="preserve"> SOL MAR ALQUILER DE VEHICULOS S.L.  </w:t>
        <w:br/>
        <w:t xml:space="preserve"> ALQUILER DE COCHES VICTORIA S.L.  </w:t>
        <w:br/>
        <w:t xml:space="preserve"> CARGEST S.L.  </w:t>
        <w:br/>
        <w:t xml:space="preserve"> DICKMANN RENT A CAR S.L.  </w:t>
        <w:br/>
        <w:t xml:space="preserve"> GUERIN RENTA A CAR S.L., and its parent Ibericar Sociedad Ibérica del Automóvil S.A.  </w:t>
        <w:br/>
        <w:t xml:space="preserve"> AUTOMOTIVE CARS MÁLAGA S.L., and its parent Idapi S.L.  </w:t>
        <w:br/>
        <w:t xml:space="preserve"> PRIMA RENTA A CAR S.L.  </w:t>
        <w:br/>
        <w:t xml:space="preserve"> AECA (Association of Entrepreneurs of Car Rental Services of Andalusia).  </w:t>
        <w:br/>
        <w:t xml:space="preserve"> AESVA (Association of Car Rental Entrepreneurs).  </w:t>
        <w:br/>
        <w:t xml:space="preserve">On April 20, 2012, the initiation agreement was expanded to the following companies:  </w:t>
        <w:br/>
        <w:t> SIXT RENT A CAR S.L., 100% owned by Sixt Aktiengesellschaft.</w:t>
      </w:r>
    </w:p>
    <w:p>
      <w:r>
        <w:rPr>
          <w:b/>
        </w:rPr>
        <w:t>[Pages 13–15]</w:t>
      </w:r>
    </w:p>
    <w:p>
      <w:r>
        <w:t xml:space="preserve">- AVIS ALQUILE UN COCHE and its parent company Avis Europe Overseas Ltd.  </w:t>
        <w:br/>
        <w:t xml:space="preserve">- As well as all other individuals, both natural and legal persons, who, due to the investigative actions, may be participants in the CARTEL despite not being included in this list.  </w:t>
        <w:br/>
        <w:t xml:space="preserve">3rd OFFICES or DELEGATIONS WHERE THE CARTEL'S ACTIONS HAVE TAKEN PLACE:  </w:t>
        <w:br/>
        <w:t xml:space="preserve">- SOLMAR presents the following distribution:  </w:t>
        <w:br/>
        <w:t xml:space="preserve">- Alicante Airport.  </w:t>
        <w:br/>
        <w:t xml:space="preserve">- San Javier-Murcia Airport.  </w:t>
        <w:br/>
        <w:t xml:space="preserve">- Barcelona Airport.  </w:t>
        <w:br/>
        <w:t xml:space="preserve">- Girona Airport.  </w:t>
        <w:br/>
        <w:t xml:space="preserve">- Valencia Airport.  </w:t>
        <w:br/>
        <w:t xml:space="preserve">- Santiago de Compostela Airport (A Coruña).  </w:t>
        <w:br/>
        <w:t xml:space="preserve">- Granada Airport.  </w:t>
        <w:br/>
        <w:t xml:space="preserve">- Almería Airport.  </w:t>
        <w:br/>
        <w:t xml:space="preserve">- Asturias Airport.  </w:t>
        <w:br/>
        <w:t xml:space="preserve">- Palma de Mallorca Airport.  </w:t>
        <w:br/>
        <w:t xml:space="preserve">- Seville Airport.  </w:t>
        <w:br/>
        <w:t xml:space="preserve">- Vigo Airport (Pontevedra).  </w:t>
        <w:br/>
        <w:t xml:space="preserve">- Reus Airport (Tarragona).  </w:t>
        <w:br/>
        <w:t xml:space="preserve">- Bilbao Airport.  </w:t>
        <w:br/>
        <w:t xml:space="preserve">- Málaga Airport.  </w:t>
        <w:br/>
        <w:t xml:space="preserve">- Moraira (Alicante).  </w:t>
        <w:br/>
        <w:t xml:space="preserve">- Murcia.  </w:t>
        <w:br/>
        <w:t xml:space="preserve">- Torrevieja (Alicante).  </w:t>
        <w:br/>
        <w:t xml:space="preserve">- Javea (Alicante).  </w:t>
        <w:br/>
        <w:t xml:space="preserve">- Denia (Alicante).  </w:t>
        <w:br/>
        <w:t xml:space="preserve">- AURIGACROWN at the following:  </w:t>
        <w:br/>
        <w:t xml:space="preserve">- Seville Airport.  </w:t>
        <w:br/>
        <w:t xml:space="preserve">- Alicante Airport.  </w:t>
        <w:br/>
        <w:t xml:space="preserve">- Valencia Airport.  </w:t>
        <w:br/>
        <w:t xml:space="preserve">- Granada Airport.  </w:t>
        <w:br/>
        <w:t xml:space="preserve">- Girona Airport.  </w:t>
        <w:br/>
        <w:t xml:space="preserve">- Almería Airport.  </w:t>
        <w:br/>
        <w:t xml:space="preserve">- Ibiza Airport.  </w:t>
        <w:br/>
        <w:t xml:space="preserve">- Jerez de la Frontera Airport.  </w:t>
        <w:br/>
        <w:t xml:space="preserve">- Málaga Airport.  </w:t>
        <w:br/>
        <w:t xml:space="preserve">- Murcia Airport.  </w:t>
        <w:br/>
        <w:t xml:space="preserve">- Palma de Mallorca Airport.  </w:t>
        <w:br/>
        <w:t xml:space="preserve">- Reus Airport.  </w:t>
        <w:br/>
        <w:t xml:space="preserve">- CENTAURO at the following:  </w:t>
        <w:br/>
        <w:t xml:space="preserve">- Alicante Airport.  </w:t>
        <w:br/>
        <w:t xml:space="preserve">- Murcia Airport.  </w:t>
        <w:br/>
        <w:t xml:space="preserve">- Valencia Airport.  </w:t>
        <w:br/>
        <w:t xml:space="preserve">- Palma de Mallorca Airport.  </w:t>
        <w:br/>
        <w:t xml:space="preserve">- Ibiza Airport.  </w:t>
        <w:br/>
        <w:t xml:space="preserve">- Menorca Airport.  </w:t>
        <w:br/>
        <w:t xml:space="preserve">- Denia (Valencia).  </w:t>
        <w:br/>
        <w:t xml:space="preserve">- Benidorm (Alicante).  </w:t>
        <w:br/>
        <w:t xml:space="preserve">- Torrevieja (Alicante).  </w:t>
        <w:br/>
        <w:t xml:space="preserve">- NIZA CARS S.L. at the following:  </w:t>
        <w:br/>
        <w:t xml:space="preserve">- Málaga Airport.  </w:t>
        <w:br/>
        <w:t xml:space="preserve">- Jerez de la Frontera Airport.  </w:t>
        <w:br/>
        <w:t xml:space="preserve">- Granada Airport.  </w:t>
        <w:br/>
        <w:t xml:space="preserve">- Almería Airport.  </w:t>
        <w:br/>
        <w:t xml:space="preserve">- Seville Airport.  </w:t>
        <w:br/>
        <w:t xml:space="preserve">- Estepona (Málaga).  </w:t>
        <w:br/>
        <w:t xml:space="preserve">- Marbella (Málaga).  </w:t>
        <w:br/>
        <w:t xml:space="preserve">- Nerja (Málaga).  </w:t>
        <w:br/>
        <w:t xml:space="preserve">- Chiclana de la Frontera (Cádiz).  </w:t>
        <w:br/>
        <w:t xml:space="preserve">- Rota (Cádiz).  </w:t>
        <w:br/>
        <w:t xml:space="preserve">- Roquetas de Mar (Almería) Aguadulce (Almería).  </w:t>
        <w:br/>
        <w:t xml:space="preserve">- Almerimar (Almería).  </w:t>
        <w:br/>
        <w:t xml:space="preserve">- Mojácar (Almería).  </w:t>
        <w:br/>
        <w:t xml:space="preserve">- HELLE AUTO S.A., at:  </w:t>
        <w:br/>
        <w:t xml:space="preserve">- Málaga Airport.  </w:t>
        <w:br/>
        <w:t xml:space="preserve">- Fuengirola (Málaga).  </w:t>
        <w:br/>
        <w:t xml:space="preserve">- BARDON Y RUFO 67 S.L., at:  </w:t>
        <w:br/>
        <w:t xml:space="preserve">- Málaga Airport.  </w:t>
        <w:br/>
        <w:t xml:space="preserve">- GOLDCAR SPAIN S.L., at the following:  </w:t>
        <w:br/>
        <w:t xml:space="preserve">- Alicante Airport.  </w:t>
        <w:br/>
        <w:t xml:space="preserve">- Almería Airport.  </w:t>
        <w:br/>
        <w:t xml:space="preserve">- Barcelona Airport.  </w:t>
        <w:br/>
        <w:t xml:space="preserve">- Bilbao Airport.  </w:t>
        <w:br/>
        <w:t xml:space="preserve">- Fuerteventura Airport.  </w:t>
        <w:br/>
        <w:t xml:space="preserve">- Girona Airport.  </w:t>
        <w:br/>
        <w:t xml:space="preserve">- Gran Canaria Airport.  </w:t>
        <w:br/>
        <w:t xml:space="preserve">- Málaga Airport.  </w:t>
        <w:br/>
        <w:t xml:space="preserve">- Granada Airport.  </w:t>
        <w:br/>
        <w:t xml:space="preserve">- Ibiza Airport.  </w:t>
        <w:br/>
        <w:t xml:space="preserve">- Jerez de la Frontera Airport.  </w:t>
        <w:br/>
        <w:t xml:space="preserve">- Lanzarote Airport.  </w:t>
        <w:br/>
        <w:t xml:space="preserve">- Menorca Airport.  </w:t>
        <w:br/>
        <w:t xml:space="preserve">- Murcia Airport.  </w:t>
        <w:br/>
        <w:t xml:space="preserve">- Mallorca Airport.  </w:t>
        <w:br/>
        <w:t xml:space="preserve">- Reus Airport.  </w:t>
        <w:br/>
        <w:t xml:space="preserve">- Seville Airport.  </w:t>
        <w:br/>
        <w:t xml:space="preserve">- Tenerife North Airport.  </w:t>
        <w:br/>
        <w:t xml:space="preserve">- Tenerife South Airport.  </w:t>
        <w:br/>
        <w:t xml:space="preserve">- Valencia Airport.  </w:t>
        <w:br/>
        <w:t xml:space="preserve">- Águilas (Murcia).  </w:t>
        <w:br/>
        <w:t xml:space="preserve">- Benidorm (Alicante).  </w:t>
        <w:br/>
        <w:t xml:space="preserve">- Sancti Petri (Cádiz).  </w:t>
        <w:br/>
        <w:t xml:space="preserve">- Denia (Valencia).  </w:t>
        <w:br/>
        <w:t xml:space="preserve">- Palma de Mallorca.  </w:t>
        <w:br/>
        <w:t xml:space="preserve">- San Juan (Alicante).  </w:t>
        <w:br/>
        <w:t xml:space="preserve">- Torrevieja (Alicante).  </w:t>
        <w:br/>
        <w:t xml:space="preserve">- NEW CARS COSTA DEL SOL S.L.:  </w:t>
        <w:br/>
        <w:t xml:space="preserve">- Málaga.  </w:t>
        <w:br/>
        <w:t xml:space="preserve">- Marbella (Málaga).  </w:t>
        <w:br/>
        <w:t xml:space="preserve">- RECORD-GO VACATION RENTAL S.A., at the following:  </w:t>
        <w:br/>
        <w:t>- Alicante Airport.</w:t>
      </w:r>
    </w:p>
    <w:p>
      <w:r>
        <w:rPr>
          <w:b/>
        </w:rPr>
        <w:t>[Pages 16–18]</w:t>
      </w:r>
    </w:p>
    <w:p>
      <w:r>
        <w:t xml:space="preserve">- Málaga Airport.  </w:t>
        <w:br/>
        <w:t xml:space="preserve">- Palma de Mallorca Airport.  </w:t>
        <w:br/>
        <w:t xml:space="preserve">- Tenerife Airport.  </w:t>
        <w:br/>
        <w:t xml:space="preserve">- Gran Canaria Airport.  </w:t>
        <w:br/>
        <w:t xml:space="preserve"> DRIVALIA CAR RENTAL S.L., at:  </w:t>
        <w:br/>
        <w:t xml:space="preserve">- Alicante Airport.  </w:t>
        <w:br/>
        <w:t xml:space="preserve">4th MARKET.- The Council of the National Commission on Markets and Competition (now defunct) in Resolution of July 30, 2013, on page 22, within Section 4.2 Market Operation and in its paragraph 4.2.1 among other particulars (PROVEN FACTS) establishes as proven the following:  </w:t>
        <w:br/>
        <w:t xml:space="preserve"> (151) "according to the public information from the DBK study on the sector of car rental without a driver from the year 2011, this market has a total value of 1.465 billion euros having experienced a growth of 3% compared to 2010, mainly driven by foreign demand."  </w:t>
        <w:br/>
        <w:t xml:space="preserve"> (152) "with respect to the delimitation of the relevant product market, the Spanish competition authorities (Concentration Northgate/Record Rent a Car) and community authorities (Cases M 234 Gecc/Avis; M 1810 VW/Europcar; M 2510 Cendant/Galileo; M 3090 Volkswagen/Offset Crescent/Leaserpalnt/Jv M 3987 FidisRenting/Leasys and M 4613 Eurazeo/Apcoa Parking Holding) have analyzed the vehicle rental service sector on various occasions. In these analyses, it has been deemed appropriate to distinguish (1) between short-term rental services (for vacations and business) (2) from long-term rental services (3) the rental of light and heavy vehicles (4) and the rental of vehicles to companies under leasing or simple rental agreements."  </w:t>
        <w:br/>
        <w:t xml:space="preserve"> (153) "in the case of the reference file, the relevant market is CENTERED on the market for car rental without a driver, short-term and, therefore, the product analyzed consists of leasing to the customer, for a limited period of time, a vehicle and is primarily aimed at individuals who do not have transportation means at the vacation or business destination."  </w:t>
        <w:br/>
        <w:t xml:space="preserve"> (154) "…..have resulted in significant development of the vehicle rental company sector in tourist destinations with a significant demand share."  </w:t>
        <w:br/>
        <w:t xml:space="preserve"> (158) "……due to this close relationship with tourism, there is a seasonality of demand, with an increase occurring during vacation periods."  </w:t>
        <w:br/>
        <w:t xml:space="preserve"> (163) "…..derived from the close relationship with tourism in this market, the activity is concentrated in the main tourist destinations of the country. Thus, according to data from DIRCE 200 (Central Directory of Companies, from the National Statistics Institute) 80% of companies dedicated to car rental without a driver are concentrated in the Autonomous Communities of Catalonia, Valencia, Andalusia, Balearic Islands, Canary Islands, and Madrid."  </w:t>
        <w:br/>
        <w:t xml:space="preserve">NINTH.- Consequently, with all the above, this COMPETITION CHAMBER of the National Commission on Markets and Competition substantially disagrees with the market definition that the now-defunct Directorate of Investigation makes in this Sanctioning File S/404/12 titled AENA Commercial Services and understands that both this Sanctioning File and the previous S/0380/11 titled Rental Cars constitute the same market and should have been instructed together and not separately (unity of act and conduct).  </w:t>
        <w:br/>
        <w:t xml:space="preserve">The contrary, once the segmentation of the market is recognized, would lead us to an absurd intellectual development. Why not consider the market for car rental without a driver, specifying it to the white color of brand X? Why not specify it to the second Fridays of the month? And of the month of March? We would be facing an inadmissible intellectual whim, not desired or permitted by the Legal System.  </w:t>
        <w:br/>
        <w:t xml:space="preserve">Therefore, this COMPETITION CHAMBER of the National Commission on Markets and Competition specifies the real existence of (1) a single CARTEL affecting the market for car rental without a driver; (2) whose investigation is initiated by virtue of a complaint from the company SOLMAR, for restrictive competition practices by a series of companies, at national airports; (3) consisting of the adoption of agreements for coordinated practices for price fixing and the establishment of certain commercial conditions in that market; and (4) with the consequent exchange of sensitive information among them, with the necessary collaboration of AENA and AENA AIRPORTS.  </w:t>
        <w:br/>
        <w:t xml:space="preserve">TENTH.- Having reached this point and proven the necessary collaboration of AENA and AENA AIRPORTS, this COMPETITION CHAMBER of the National Commission on Markets and Competition cannot help but express its astonishment and perplexity at such an occurrence.  </w:t>
        <w:br/>
        <w:t xml:space="preserve">Both AENA and AENA AIRPORTS do not have as their statutory and/or business purpose "to be car rental companies without drivers" "nor consequently, to constitute themselves as the head of this CARTEL" "nor to obtain economic benefits from it."  </w:t>
        <w:br/>
        <w:t xml:space="preserve">Consequently, this COMPETITION CHAMBER has decided to WARN and RECOMMEND to the governing bodies of the same the need to clarify any responsibilities that have arisen, opening any necessary proceedings or files for the clarification of conduct, as we understand that the decision to constitute itself as the head of the cartel was not a decision of its own, but an improper one assumed by specific person or persons, to be determined.  </w:t>
        <w:br/>
        <w:t xml:space="preserve">LEGAL GROUNDS  </w:t>
        <w:br/>
        <w:t xml:space="preserve">FIRST.- This COMPETITION CHAMBER of the National Commission on Markets and Competition is the competent authority to issue an administrative resolution in this Sanctioning File S/0404/12 AENA Commercial Services, previously instructed, regarding the application of Article 1 of Law 16/1989, of July 17, on the Defense of Competition; of Article 1 of Law 15/2007, of July 3, on the Defense of Competition; and of Article 101 of the Treaty on the Functioning of the European Union, as the analyzed facts constitutive of infringement affect the entire Spanish market, as well as intra-community trade, being the Spanish competition authority the best positioned within the European Union, "according to what is established, both in the Fifth Additional Provision of Law 15/2007 and in Article 3 of Regulation (EC) No. 1/2003 of the Council of December 16, 2002, concerning the application of the competition rules provided for in Articles 81 and 82 of the Treaty (OJEU January 4, 2003) and the criteria established in the Communication of the European Commission on cooperation in the Network of Competition Authorities (OJEU April 27, 2004)."  </w:t>
        <w:br/>
        <w:t>And given that exchanges of commercially sensitive information have been executed in practically all Spanish airports, with the exception of those in Badajoz, Logroño, and Melilla.</w:t>
      </w:r>
    </w:p>
    <w:p>
      <w:r>
        <w:rPr>
          <w:b/>
        </w:rPr>
        <w:t>[Pages 19–21]</w:t>
      </w:r>
    </w:p>
    <w:p>
      <w:r>
        <w:t xml:space="preserve">SECOND.- The Court of Justice of the European Union (Judgments of July 8, 1999, case C-1999/92 P Huis AG/Commission); October 2, 2003, case C-179/99 P Eurofer ASBL/Commission; June 4, 2009, case C-8/08 T-Mobile Netherlands); the National Competition Commission (Resolutions of July 2, 2009, File 2759 Mobile Phones; January 19, 2012, File S/0280/10 Suzuki-Honda); and the Guidelines of the European Commission on the applicability of Article 101 of the Treaty on the Functioning of the European Union to horizontal cooperation agreements (DOUE January 14, 2011) specify and provide that “the concept of concerted practice refers to a form of coordination between companies that, without having resulted in the conclusion of a proper agreement, consciously replaces the risks of competition with practical cooperation among them.”  </w:t>
        <w:br/>
        <w:t xml:space="preserve">And it adds “the criteria for coordination and cooperation necessary to determine the existence of a concerted practice do not require that a real plan has been developed, but must be understood in light of the inherent concept of the provisions of the Treaty regarding competition, according to which each company must independently determine the policy it intends to adopt in the internal market and the conditions it intends to offer to its customers.”  </w:t>
        <w:br/>
        <w:t xml:space="preserve">The Court of Justice of the European Union (Judgment of May 28, 1998, Case C-7/95 John Deere) establishes the following: “In this respect, it must first be recalled that, according to the case law of the CJEU (Judgments of December 16, 1975, Suiker Unie and others/Commission, joined cases 40/73 to 4873, 50/73, 54/73, 55/73, 56/73, 111/73, 113/73 and 114/73), the criteria of coordination and cooperation constitutive of a concerted practice, far from requiring the development of a true &lt;plan&gt;, must be interpreted in light of the logic inherent in the competition provisions of the Treaty, according to which every economic operator must autonomously determine the policy it intends to pursue in the common market and the conditions it intends to reserve for its customers.” “While it is true that this requirement of autonomy does not exclude the right of operators to skillfully adapt to the behavior that they have observed or that they foresee their competitors will follow, it is, however, strictly opposed to any form of contact, direct or indirect, between such operators, which aims to influence the behavior in the market of a competitor, current or potential, or to reveal to such competitor the behavior that one intends to adopt in the market or that one intends to adopt in it and that would not correspond to the normal conditions of the market in question.”  </w:t>
        <w:br/>
        <w:t xml:space="preserve">THIRD.- While it is true that the parties accused throughout their writings have made a series of allegations that do not have the character of formal procedural exceptions, they must be resolved with justification.  </w:t>
        <w:br/>
        <w:t xml:space="preserve">1st Violation of the right to defense for not having had time to access the file, as well as the impropriety of the accusation for having been communicated the initiation a few weeks after the sending of the Statement of Facts.  </w:t>
        <w:br/>
        <w:t xml:space="preserve">An allegation that lacks intellectual consistency, and therefore must be rejected (1) for being untrue; and (2) because the accusations are individualized and not generic.  </w:t>
        <w:br/>
        <w:t xml:space="preserve">2nd Market delimitation and its community impact. It must be based on what has been previously established, as well as on the specification of legal normative provisions and on the cited jurisprudential doctrine that develops them.  </w:t>
        <w:br/>
        <w:t xml:space="preserve">It should be reiterated that Article 101 of the Treaty on the Functioning of the European Union establishes that “all agreements between companies, decisions by associations of companies, and concerted practices that may affect trade between Member States and that have as their object or effect the prevention, restriction, or distortion of competition within the common market shall be incompatible with the common market and prohibited,” and in particular those that consist of fixing, directly or indirectly, purchase or selling prices or other transaction conditions.  </w:t>
        <w:br/>
        <w:t xml:space="preserve">Article 101 pursues “the maintenance of a single market among Member States, which implies that competition among Member States must not be affected, whether by market sharing or by restricting trade among them.”  </w:t>
        <w:br/>
        <w:t xml:space="preserve">In accordance with the GUIDELINES regarding the concept of effect on trade under Articles 80 and 81 of the Treaty, now Articles 101 and 102 (DO C 27 April 2004), when applying the criterion of effect on trade, three objective elements must be taken into account: (1) the concept of trade between Member States; (2) the notion of affecting (affect or may affect); and (3) the concept of appreciability.  </w:t>
        <w:br/>
        <w:t xml:space="preserve">With the support of the Commission's Report for the application of Council Directive 96/67/EC of October 15, 1996, Spain is, after the United Kingdom, the second European country with the highest number of airports whose annual traffic exceeds two million passengers, airports that the Commission has considered as a substantial part of the community market, constituting the practices under investigation a potential competitive disadvantage for entrants into the market, thus hindering the economic interpenetration pursued by the Treaty.”  </w:t>
        <w:br/>
        <w:t xml:space="preserve">In any case, it should be stated that, in application of the principle of legality, this Competition Chamber of the National Commission of Markets and Competition has communicated to the European Union the existence and initiation of this Sanctioning File, for the purposes provided.  </w:t>
        <w:br/>
        <w:t xml:space="preserve">3rd Duration of the infringement. It is evidentially clear, based on all the evidence presented, that the duration of the infringement is specified: from April 19, 1996, to September 5, 2012. While it is true that not all the companies accused of committing the prohibited conduct have remained in the cartel for the entirety of that total duration, as we have established in the corresponding proven fact.  </w:t>
        <w:br/>
        <w:t xml:space="preserve">In any case, the provisions of Article 4.6 of Royal Decree 1398/1993, of August 4, which approves the Procedure Regulation for the exercise of sanctioning power, have been applied, in accordance with and supported by the doctrine of the now-defunct Competition Defense Tribunal (July 27, 2000, File 1468/1999 Texaco 2; October 31, 2000, File 475/99 Prensa Vizcaya; May 31, 2002, File 520/01 Disared); of the National Competition Commission (October 18, 2007, File 617/06 Cajas Vascas y Navarra; November 12, 2009, File S/0037/08 Compañías Seguro Decenal; May 17, 2010, File S/0106/08 Almacenes de Hierro; June 24, 2011, File S/0185/09 Bombas de fluidos; October 19, 2011, File S/0226/10 Licitaciones de Carreteras; December 2, 2011, File S/0251/10 Envases Hortofrutícolas; January 12, 2012, File S/0179/09 Hormigón y productos relacionados; August 2, 2012, File S/0287/10 Postensado y material de archivo; February 15, 2013, File S/0343/11 Manipulado Papel; March 8, 2013, File S/0329/11 Asfaltos de Cantabria; March 25, 2013, File S/0316/10 Sobres papel); National Court (February 28, 2005, November 6, 2009, and November 28, 2012) and Supreme Court (October 10, 2006, December 12, 2007, and March 19, 2008).  </w:t>
        <w:br/>
        <w:t>The Council of the National Competition Commission (now defunct) in the Resolution of May 17, 2010 (Sanctioning File S/0106/08 Almacenes Hierro), recently confirmed by the National Court (SAN 19</w:t>
      </w:r>
    </w:p>
    <w:p>
      <w:r>
        <w:rPr>
          <w:b/>
        </w:rPr>
        <w:t>[Pages 22–24]</w:t>
      </w:r>
    </w:p>
    <w:p>
      <w:r>
        <w:t xml:space="preserve">of February 2013) stated that "the Community courts have indicated that an infringement of the prohibition of restrictive agreements can be the result &lt;of a series of acts separated in time and even of continuous conduct&gt; as long as the different actions are part of a joint plan due to their identical or unique object, which cannot be determined by a general reference to the distortion of competition. An interpretation—the existence of a single infringement continued over time—that will not be undermined by the fact that one or several elements of that series of acts or of the continuous conduct may also constitute by themselves and when considered in isolation an infringement of the same provision. Nor will it be because there is no direct evidence of the persistence of the continuous infringement over periods of time &lt;more or less long within the framework of an infringement lasting several years&gt;, as long as there is evidence of facts sufficiently close in time and connected to each other, so that it can be reasonably inferred in law that the infringement continued uninterruptedly between two specific dates. An interpretation based on the fact that companies are usually aware of the anticompetitive nature of their conduct and, therefore, it is common for the competition authority to encounter fragmented and dispersed documentation, so that it is usually necessary to infer the existence and duration of the infringement from certain coincidences and indications that, considered as a whole, can constitute, in the absence of a coherent explanation, the proof of a single and continuous infringement."  </w:t>
        <w:br/>
        <w:t xml:space="preserve">In the Resolution of March 25, 2013, File S/0316/10 Paper Envelopes, the Council of the National Competition Commission (now extinct) expressed that "the fact that not all companies are present in all the proven collusive conduct does not deprive the infringement of unity and does not violate any defense rights of the companies by imputing to them participation in a single and continuous infringement, as long as such responsibility is individualized according to the proven facts." This doctrine was reiterated in the Resolutions of January 12, 2012, File S/0179/09 Concrete and related products; Resolution of October 19, 2011, File S/0226/10 Road Bidding...  </w:t>
        <w:br/>
        <w:t xml:space="preserve">Regarding the allegation concerning the impossibility of attributing responsibilities to subjects who have not committed some of the practices contained in a single and continuous infringement, this must be rejected, in line with the Resolution of April 26, 2011, File S/0107/08 Mussel Distribution Platform in Galicia when it states that "regarding the requirement of identity of infringing subjects, this cannot be understood in its literal sense, since the longer the duration of a continuous agreement, the more likely it is that the members of the agreement enter or exit it." "The criteria stated by the National Court for the declaration of a single or continuous infringement are present. First, regarding subjective identity... Second, there is a common objective... Third, the investigated practices have a spatiotemporal relationship of succession... Fourth, their greater or lesser intensity usually depends on the conditions of supply in the market and even on the timing of the campaign, since there is certain seasonality in sales."  </w:t>
        <w:br/>
        <w:t xml:space="preserve">Notwithstanding the above, this COMPETITION CHAMBER of the National Commission of Markets and Competition, understanding that we are in the presence of a single and continuous infringement over time, and in order to establish the corresponding economic responsibilities, has proceeded  </w:t>
        <w:br/>
        <w:t xml:space="preserve">- to specify and detail the responsibility for each of the companies and sector associations based on various parameters and variables.  </w:t>
        <w:br/>
        <w:t xml:space="preserve">- and this taking into account the provisions of Article 4.6 of Royal Decree 1398/1993, of August 4, which approves the Regulation of the Procedure for the exercise of the sanctioning power, stating that "the carrying out of a plurality of actions or omissions that infringe the same or similar administrative provisions, in execution of a preconceived plan or taking advantage of the same opportunity, shall be sanctionable as a continuous infringement" (SAN of November 6, 2009, Appeal 542/2007 Caja Vital).  </w:t>
        <w:br/>
        <w:t xml:space="preserve">4th Legitimate trust.- In addition to the principle of constitutionality enshrined in Article 9.1 of the Spanish Constitution ("Citizens and public authorities are subject to the Constitution and the rest of the Legal System"), its third section develops the essential principles of the Rule of Law, enshrining the constitutional principles of legality and legal certainty.  </w:t>
        <w:br/>
        <w:t xml:space="preserve">According to this section "the Constitution guarantees the principle of legality, the normative hierarchy, the publicity of the norms, the non-retroactivity of unfavorable sanctioning provisions or those restricting individual rights, legal certainty, responsibility, and the prohibition of arbitrariness by public authorities."  </w:t>
        <w:br/>
        <w:t xml:space="preserve">The principle of legitimate trust in acts emanating from the Administration, derived from the principle of legal certainty under Article 9, is an inspiring principle of administrative action, recognized today by Article 3.1 of Law 30/1992, of November 26, on the Legal Regime of Public Administrations and the Common Administrative Procedure, following the reform carried out by Law 4/1999, of January 13.  </w:t>
        <w:br/>
        <w:t xml:space="preserve">Law 4/1999 establishes in its Explanatory Memorandum that "first, in the Preliminary Title, the principles of action of Public Administrations, derived from legal certainty, are introduced. On the one hand, the principle of good faith, applied by the contentious-administrative jurisdiction, even before its reception by the Preliminary Title of the Civil Code. On the other hand, the well-known principle in European administrative procedural law and recognized by contentious-administrative jurisprudence, of the legitimate trust of citizens that the actions of Public Administrations cannot be altered arbitrarily."  </w:t>
        <w:br/>
        <w:t xml:space="preserve">"They must also respect the principles of good faith in their actions" "serving the general interests objectively... with full submission to the law and to Law" under Article 103 of the constitutional text.  </w:t>
        <w:br/>
        <w:t xml:space="preserve">AENA and AENA AEROPUERTOS are business commercial entities, with public capital, but they are not the Administration, therefore the doctrine of legitimate trust in the acts of Public Administrations does not apply to them, and such allegation must be rejected.  </w:t>
        <w:br/>
        <w:t xml:space="preserve">5th Conventional termination.- Law 16/1989, of July 17, on the Defense of Competition, provides in its Article 36 bis "Cases of inadmissibility and conventional termination" section 1c) that "the Competition Defense Service may agree to the conventional termination of an investigation that has been initiated ex officio or at the request of an interested party... as long as it does not contravene the provisions of this Law and is aimed at concluding the administrative proceedings."  </w:t>
        <w:br/>
        <w:t xml:space="preserve">Law 15/2007, of July 3, on the Defense of Competition, provides in its Article 52, section one that "the Council of the National Competition Commission, at the proposal of the Investigation Directorate, may resolve the termination of the sanctioning procedure regarding prohibited agreements and practices when the alleged infringers propose commitments that resolve the effects on competition arising from the conduct subject to the file and the public interest is sufficiently guaranteed."  </w:t>
        <w:br/>
        <w:t>Consequently, we are not in the presence of a right of the infringing parties, but of a discretionary possibility or availability of the inspection services and the Council; with a qualifying or conditioning item which is that in any case the public interest is sufficiently guaranteed.</w:t>
      </w:r>
    </w:p>
    <w:p>
      <w:r>
        <w:rPr>
          <w:b/>
        </w:rPr>
        <w:t>[Pages 25–27]</w:t>
      </w:r>
    </w:p>
    <w:p>
      <w:r>
        <w:t xml:space="preserve">Additionally, it is a certain fact that the now-defunct Directorate of Investigation, following AVIS's request of November 7, 2012, to initiate the procedure for a conventional termination, pursuant to Articles 52 of Law 15/2007 and Article 39 of Royal Decree 261/2008, agreed not to initiate it, which allowed that business entity to file an appeal before the Council of the National Competition Commission (now defunct) that was dismissed in the Resolution of February 21, 2013.  </w:t>
        <w:br/>
        <w:t xml:space="preserve">6th Necessary cooperator.- Once again, it is reiterated that both AENA and AENA AEROPUERTOS, without being operators in the affected market, have played a fundamental role in gathering information and facilitating the exchange of commercially sensitive information among car rental companies without drivers, at almost all Spanish airports (with the exception of the three mentioned), so they must be considered co-authors of the infringement along with the other companies charged in this file as they have substantially contributed to maintaining the conduct and, therefore, to restricting competition, severely and for an extended period, in that market."  </w:t>
        <w:br/>
        <w:t xml:space="preserve">Obviously, the said exchange of information could well have been carried out without the participation of AENA and AENA AEROPUERTOS; however, their active participation has been sufficiently proven, allowing the realization and persistence of the infringing conduct over time.  </w:t>
        <w:br/>
        <w:t xml:space="preserve">7th Aggravating and mitigating circumstances.- AENA AEROPUERTOS in the allegations presented addresses two: (1) the lack of intent and (2) the durability of the conduct.  </w:t>
        <w:br/>
        <w:t xml:space="preserve">The now-defunct Directorate of Investigation responded to the first by stating that "the lack of intent of the alleged conduct lacks any mitigating condition or circumstance" "as well as the existence of actions aimed at repairing the harmful effects of the infringement in the market," a claim that must be rejected based on the provisions of Article 64.3 of Law 15/2007; and regarding the existence of actions aimed at "it is nothing more than a citation, as it proves nothing in this regard."  </w:t>
        <w:br/>
        <w:t xml:space="preserve">In its favor, it should be noted that at two specific moments, AENA AEROPUERTOS communicated to its delegations that they should no longer provide the companies that had participated in the exchange of commercially sensitive information, concessionaires at the airports, with the monthly billing reports and contracts, and that this communication was reiterated on May 31, 2012 (emails of February 2, 2012 found on Pages 8671 to 8673; and May 31, 2012 found on Pages 8674 to 8677) and information provided by GOLDCAR (Pages 8417 to 8419), TOP CAR (Pages 6036 to 6037) and ATESA (Pages 5225 to 5229).  </w:t>
        <w:br/>
        <w:t xml:space="preserve">FOURTH.- RECORD-GO, in its allegation to this effect, understands that this Sanctioning File S/0404/12 titled by the Directorate of Investigation (now defunct) "AENA Commercial Services" should have been subsumed under the Sanctioning File S/0380/11 titled by the Directorate of Investigation (now defunct) "Rental Cars."  </w:t>
        <w:br/>
        <w:t xml:space="preserve">In order to avoid unnecessary repetitions, this COMPETITION CHAMBER refers in its entirety to the previous establishment of PROVEN FACTS. And adds:  </w:t>
        <w:br/>
        <w:t xml:space="preserve">1st the title or nomen iuris given by the Directorate of Investigation (now defunct) cannot prevail over the essence of the infringing conduct investigated, nor be the cause of an artificial limitation of it.  </w:t>
        <w:br/>
        <w:t xml:space="preserve">2nd the response given by the Directorate of Investigation (now defunct) to the aforementioned allegation of RECORD-GO cannot be accepted under the assertion "that there is no identity of infringing subjects between this file and S/0380/11 in which a total of 23 car rental companies and 2 associations have been initiated against the 28 initiated in this file plus AENA and AENA AEROPUERTOS, coinciding, indeed......  </w:t>
        <w:br/>
        <w:t xml:space="preserve">FIFTH.- This decision taken by this Competition Chamber in the exercise of its functions and resolving powers cannot be classified as improper but also has its support in judgments issued in the contentious-administrative jurisdiction. To this effect, we cite, among others, the very recent judgment issued on November 26, 2013, by the Sixth Section of the Contentious-Administrative Chamber of the National Court (Appeal 0018/2012 Balearia Eurolíneas Marítimas S.A., and Euromaroc 2000 SLU) in whose Fourth Legal Basis states that "the plaintiff considers, in this case, that there is subjective, factual, and foundational identity, understanding that a reduction of the sanction by 30% would be appropriate. The contested resolution and the State Attorney's Office consider that there is no identity of foundation, as a cartel related to the use of exchange rates was sanctioned in file 80/08. However, the appellant must be given reason in considering that such identity exists, both in terms of the subjects and the foundation (since a cartel prohibited by Article 1.1 of Law 15/2007 is sanctioned) and even of the facts, since there is a common time period in both proceedings in which the participation of the appellant in the cartel is sanctioned (Holy Week 2008, summer 2008 and 2009), which has affected both the exchange rates for crossing the Strait and the rest of the applicable prices, lacking sufficient sanctioning autonomy the circumstance that in file 80/08 only the regime of exchange rates was taken into account."  </w:t>
        <w:br/>
        <w:t xml:space="preserve">SIXTH.- Law 16/1989, of July 17, on the Defense of Competition, provides in its Article 10 Sanctioning Fines that "the Tribunal may impose on economic agents, companies, associations, unions or groups of them that, deliberately or through negligence, infringe the provisions of Articles 1, 6 and 7 or fail to comply with a condition or obligation provided for in Article 4.2 fines of up to 150,000,000 pesetas (€ 901,518.16), an amount that may be increased up to 10% of the sales volume corresponding to the economic year immediately prior to the resolution of the Tribunal."  </w:t>
        <w:br/>
        <w:t xml:space="preserve">Law 15/2007, of July 3, on the Defense of Competition, provides in its Article 63 Sanctions that "the competent bodies may impose on economic agents, companies, associations, unions or groups of them that, deliberately or through negligence, infringe the provisions of this Law the following (First paragraph) c) very serious infringements of up to 10 percent of the total turnover of the infringing company in the financial year immediately prior to the imposition of the same.  </w:t>
        <w:br/>
        <w:t xml:space="preserve">For the purpose of sanctioning, we must start from the following conditioning circumstances: the first, we understand that the anticompetitive conduct followed by the parties charged in this Sanctioning File and having had its effects throughout the national territory must be classified as very serious; the second, the calculation of the fine in order to quantify it must be made according to the parameters set forth in Article 10 of Law 16/1989 as the more beneficial legal norm; the third, this based on the duration of the period in which they have maintained the anticompetitive conduct; and the fourth, increased or moderated based on the existence of aggravating or mitigating circumstances (indicative causal variables that modify).  </w:t>
        <w:br/>
        <w:t xml:space="preserve">It is an item to consider that the now-defunct Council of the National Competition Commission, on July 30, 2013, issued a Resolution in which (page 223) it agreed to impose what it called the Final Fine, which was broken down as follows:  </w:t>
        <w:br/>
        <w:t xml:space="preserve">- VICTORIA CAR RENTAL € 1,065,562  </w:t>
        <w:br/>
        <w:t xml:space="preserve">- AURIGACROWN CAR HIRE 281,566  </w:t>
        <w:br/>
        <w:t xml:space="preserve">- AUTOMOTIVECARS MALAGA 2,986,326  </w:t>
        <w:br/>
        <w:t xml:space="preserve">- AVIS 1,469,907  </w:t>
        <w:br/>
        <w:t xml:space="preserve">- BARDON Y RUFO 497,147  </w:t>
        <w:br/>
        <w:t xml:space="preserve">- CARGEST 160,983  </w:t>
        <w:br/>
        <w:t xml:space="preserve">- CENTAURO RENT-A-CAR 5,567,940  </w:t>
        <w:br/>
        <w:t>- DICKMANNS 332,308</w:t>
      </w:r>
    </w:p>
    <w:p>
      <w:r>
        <w:rPr>
          <w:b/>
        </w:rPr>
        <w:t>[Pages 28–30]</w:t>
      </w:r>
    </w:p>
    <w:p>
      <w:r>
        <w:t xml:space="preserve"> DRIVALIA 103,294  </w:t>
        <w:br/>
        <w:t xml:space="preserve"> GOLDCAR SPAIN 15,456,219  </w:t>
        <w:br/>
        <w:t xml:space="preserve"> GUERIN 226,732  </w:t>
        <w:br/>
        <w:t xml:space="preserve"> HELLE 347,483  </w:t>
        <w:br/>
        <w:t xml:space="preserve"> NEW CARS COSTA DEL SOL 370,535  </w:t>
        <w:br/>
        <w:t xml:space="preserve"> NIZA CARS 614,525  </w:t>
        <w:br/>
        <w:t xml:space="preserve"> PRIMA RENT A CAR 32,571  </w:t>
        <w:br/>
        <w:t xml:space="preserve"> RECORD-GO 4,871,400  </w:t>
        <w:br/>
        <w:t xml:space="preserve"> SOLMAR 791,958  </w:t>
        <w:br/>
        <w:t xml:space="preserve">In addition to the companies mentioned and considering the severity and duration of the infringement, the different roles played by the Associations AECA and AESVA and the level of fines imposed on the infringing companies, the now-defunct Council of the National Commission of Competition imposed a fine of €150,000 on AECA and €100,000 on AESVA.  </w:t>
        <w:br/>
        <w:t xml:space="preserve">SEVENTH.- The agreements adopted are framed (1) at the national level, in accordance with Article 1 of Law 16/1989, of July 17, on the Defense of Competition and Article 1 of Law 15/2007, of July 3, on the Defense of Competition; and in Article 101 of the Treaty on the Functioning of the European Union, regarding its impact on trade between Member States, as "the existence of a single and continuous infringement from April 16, 1999 to February 2, 2012 has been proven."  </w:t>
        <w:br/>
        <w:t xml:space="preserve">Regarding the sanction to be applied, in accordance with the criteria developed in the aforementioned Laws, in line with the provisions of Article 128.2 of Law 30/1992, of November 26, on the Legal Regime of Public Administrations and the Common Administrative Procedure, "one of the two norms must be applied – either Law 16/1989 or Law 15/2007 – opting for the one that is most beneficial for the sanctioned parties, in accordance with the principles of non-retroactivity of the more unfavorable sanctioning norm and retroactivity of the more favorable one."  </w:t>
        <w:br/>
        <w:t xml:space="preserve">In the opinion of this Competition Chamber of the National Commission of Markets and Competition, Law 16/1989 is more favorable, as it grants the discretion of its Article 10, the wording of which develops the jurisprudential doctrine by stating that "the discretion granted by Article 10 of Law 16/1989... must be executed by weighing the concurrent circumstances in each case, in order to achieve the necessary and due proportionality between the imputed facts and the responsibility required, given that every sanction must be determined in accordance with the principles of proportionality and individualization of the sanction to adapt it to the severity of the conduct."  </w:t>
        <w:br/>
        <w:t xml:space="preserve">Thus, among other parameters, the following must be assessed: (a) the modality and scope of the restriction of competition (b) the size and characteristics of the affected market (c) the effects of the infringement on consumers and users or on other economic operators (d) the duration of the restrictive conduct of competition and (e) the repetition and other aggravating and/or mitigating circumstances, if applicable (SSTS of December 1, 2010 Rec 2685/08; January 29, 2013 Rec 2496/2012; June 28, 2013 Rec 1947/2010) and (SSAN of November 10, 2010 Rec 637/2009; November 22, 2010 Rec 365/2009; January 18, 2011 Rec 266/2009; February 10, 2011 Rec 318/2010; October 13, 2011 Rec 795/2009; November 10, 2011 Rec 846/2009).  </w:t>
        <w:br/>
        <w:t xml:space="preserve">I.- Companies charged: duration of the infringement  </w:t>
        <w:br/>
        <w:t xml:space="preserve">Initial Date Final Date  </w:t>
        <w:br/>
        <w:t xml:space="preserve">AENA 04/19/1996 06/08/2011  </w:t>
        <w:br/>
        <w:t xml:space="preserve">AENA AEROPUERTOS, S.A. (and jointly AENA) 06/08/2011 09/05/2012  </w:t>
        <w:br/>
        <w:t xml:space="preserve">ATESA (and jointly its parent, CITER, for the period between 01/01/08 and 02/02/2012) 04/19/1996 02/02/2012  </w:t>
        <w:br/>
        <w:t xml:space="preserve">AVIS (and jointly its parent, AVIS EUROPE) 04/19/1996 09/05/2012  </w:t>
        <w:br/>
        <w:t xml:space="preserve">SOLMAR ALQUILER DE VEHICULOS, S. L. 01/01/1997 03/31/2011  </w:t>
        <w:br/>
        <w:t xml:space="preserve">CENTAURO RENT A CAR, S.L. (and jointly its parent CENTAURO, S.L.) 01/01/1998 02/02/2012  </w:t>
        <w:br/>
        <w:t xml:space="preserve">AURIGACROWN CAR HIRE, S.L. (and AURIGACROWN WEB, S.L. as successor company) 08/01/2002 06/25/2012  </w:t>
        <w:br/>
        <w:t xml:space="preserve">AUTOS CABRERA MEDINA, S.L. (and jointly its parent G. E. CABRERA MEDINA since 12/01/2008) 07/01/2002 02/28/2012  </w:t>
        <w:br/>
        <w:t xml:space="preserve">CANARY ISLANDS CAR, S.L. (and jointly its parent G. E. CABRERA MEDINA since 12/01/2008) 07/01/2002 02/28/2012  </w:t>
        <w:br/>
        <w:t xml:space="preserve">PAYLESS CAR, S.A. (and jointly its parent G. E. CABRERA MEDINA since 02/28/2009) 05/14/2008 02/28/2012  </w:t>
        <w:br/>
        <w:t xml:space="preserve">CORAL CAR 08/01/2002 02/02/2012  </w:t>
        <w:br/>
        <w:t xml:space="preserve">OWNERS CARS, S.A. 06/30/2010 02/02/2012  </w:t>
        <w:br/>
        <w:t xml:space="preserve">TOP CAR AUTO REISEN, S.L. 07/01/2002 02/02/2012  </w:t>
        <w:br/>
        <w:t xml:space="preserve">RECORD-GO ALQUILER (and jointly its parent GO DE ALQUILER, S.L. since 01/01/2005) 06/17/2002 02/02/2012  </w:t>
        <w:br/>
        <w:t xml:space="preserve">EUROPCAR IB, S.A. (and jointly its parent EURAZEO, S.A. since 07/01/2006) 01/01/1997 09/05/2012  </w:t>
        <w:br/>
        <w:t xml:space="preserve">SIXT RENT-A-CAR, S.L. (and jointly its parent SIXT AKTIENGESELLSCHAFT) 05/09/2008 02/02/2012  </w:t>
        <w:br/>
        <w:t xml:space="preserve">GOLD CAR SPAIN, S. L. (and jointly its parent, GOLDCAR RENTING, S.L. since 12/29/2003) 01/01/1997 09/05/2012  </w:t>
        <w:br/>
        <w:t xml:space="preserve">HERTZ DE ESPAÑA (and jointly its parent HERTZ GLOBAL HOLDINGS, INC.) 04/19/1996 09/05/2012  </w:t>
        <w:br/>
        <w:t xml:space="preserve">SPECIAL PRICES AUTO REISEN, S. L. 07/01/2002 02/02/2012  </w:t>
        <w:br/>
        <w:t xml:space="preserve">II.- Quantification of the sanction  </w:t>
        <w:br/>
        <w:t xml:space="preserve">Sanction of the  </w:t>
        <w:br/>
        <w:t xml:space="preserve">COMPANIES Total days Sanction 1st round No. Aer. Sanction 2nd Round  </w:t>
        <w:br/>
        <w:t xml:space="preserve">Law 16/1989  </w:t>
        <w:br/>
        <w:t xml:space="preserve">AENA 9 1,518.00 5,528 832,959 33 832,959  </w:t>
        <w:br/>
        <w:t xml:space="preserve">AENA AEROPUERTOS, S.A. (and jointly AENA) 9 1,518.00 455 68,559 33 68,559  </w:t>
        <w:br/>
        <w:t xml:space="preserve">ATESA (and jointly its parent, CITER, for the period between 01/01/08 and 02/02/2012) 9 1,518.00 5,767 868,971 21 552,982  </w:t>
        <w:br/>
        <w:t xml:space="preserve">AVIS (and jointly its parent, AVIS EUROPE) 9 1,518.00 5,983 901,518 28 764,924  </w:t>
        <w:br/>
        <w:t xml:space="preserve">SOLMAR ALQUILER DE VEHICULOS, S. L. 9 1,518.00 5,202 783,837 12 85,032  </w:t>
        <w:br/>
        <w:t xml:space="preserve">CENTAURO RENT A CAR, S.L. (and jointly its parent CENTAURO, S.L.) 9 1,518.00 5,145 775,248 3 70,477  </w:t>
        <w:br/>
        <w:t xml:space="preserve">AURIGACROWN CAR HIRE, S.L. (and AURIGACROWN WEB, S.L. as successor company) 9 1,518.00 3,616 544,859 11 81,620  </w:t>
        <w:br/>
        <w:t xml:space="preserve">AUTOS CABRERA MEDINA, S.L. (and jointly its parent G. E. CABRERA MEDINA since 12/01/2008) 9 1,518.00 3,529 531,749 1 16,114  </w:t>
        <w:br/>
        <w:t xml:space="preserve">CANARY ISLANDS CAR, S.L. (and jointly its parent G. E. CABRERA MEDINA since 12/01/2008) 9 1,518.00 3,529 531,749 8 28,909  </w:t>
        <w:br/>
        <w:t xml:space="preserve">PAYLESS CAR, S.A. (and jointly its parent G. E. CABRERA MEDINA since 02/28/2009) 9 1,518.00 1,385 208,692 2 12,648  </w:t>
        <w:br/>
        <w:t xml:space="preserve">CORAL CAR 9 1,518.00 3,472 523,161 1 15,853  </w:t>
        <w:br/>
        <w:t xml:space="preserve">OWNERS CARS, S.A. 9 1,518.00 582 87,696 1 2,657  </w:t>
        <w:br/>
        <w:t xml:space="preserve">TOP CAR AUTO REISEN, S.L. 9 1,518.00 3,503 527,832 2 31,990  </w:t>
        <w:br/>
        <w:t xml:space="preserve">RECORD-GO ALQUILER (and jointly its parent GO DE ALQUILER, S.L. since 01/01/2005) 9 1,518.00 3,517 529,941 3 48,176  </w:t>
        <w:br/>
        <w:t xml:space="preserve">EUROPCAR IB, S.A. (and jointly its parent EURAZEO, S.A. since 07/01/2006) 9 1,518.00 5,726 862,793 33 62,793  </w:t>
        <w:br/>
        <w:t xml:space="preserve">SIXT RENT-A-CAR, S.L. (and jointly its parent SIXT AKTIENGESELLSCHAFT) 9 1,518.00 1,364 205,527 6 37,369  </w:t>
        <w:br/>
        <w:t xml:space="preserve">GOLD CAR SPAIN, S. L. (and jointly its parent, GOLDCAR RENTING, S.L. since 12/29/2003) 9 1,518.00 5,726 862,793 13 39,888  </w:t>
        <w:br/>
        <w:t xml:space="preserve">HERTZ DE ESPAÑA (and jointly its parent HERTZ GLOBAL HOLDINGS, INC.) 9 1,518.00 5,983 901,518 19 19,056  </w:t>
        <w:br/>
        <w:t xml:space="preserve">SPECIAL PRICES AUTO REISEN, S. L. 9 1,518.00 3,503 527,832 3 47,985  </w:t>
        <w:br/>
        <w:t xml:space="preserve">EIGHTH.- The following doctrines apply to this Sanctioning File:  </w:t>
        <w:br/>
        <w:t xml:space="preserve">1st the principle of res judicata, of binding effect, as the three identities coincide: persons, things, and cause or reason for the claim, determining the preclusion of any further process on the same object and the impossibility of deciding differently from the previous ruling, preventing the controversy from being renewed ad nauseam or from claims that contradict the meaning of what has been definitively resolved.  </w:t>
        <w:br/>
        <w:t xml:space="preserve">And this with the applicative value of the provisions of Article 1,252 of the Civil Code.  </w:t>
        <w:br/>
        <w:t xml:space="preserve">2nd the principle of non bis in idem which, although not expressly enshrined constitutionally, must be understood as integrated into the principle of legality that implies the prohibition of repeatedly sanctioning the same conduct by authorities of the same jurisdictional order and through different procedures.  </w:t>
        <w:br/>
        <w:t>Certainly, the unchangeability of judgments and/or administrative resolutions once issued, definitive and firm in their order, are supported.</w:t>
      </w:r>
    </w:p>
    <w:p>
      <w:r>
        <w:rPr>
          <w:b/>
        </w:rPr>
        <w:t>[Pages 31–33]</w:t>
      </w:r>
    </w:p>
    <w:p>
      <w:r>
        <w:t xml:space="preserve">constitutional under Article 24.1 and is doctrinally connected to the principle of legal certainty proclaimed by the previous Article 9.3 of the same constitutional text.  </w:t>
        <w:br/>
        <w:t xml:space="preserve">But it also results from ordinary legal regulations and jurisprudence: Article 1252 of the Civil Code, regarding the presumption of res judicata, as applied and interpreted by the Supreme Court, has established as legal doctrine that "it is not admissible that in a second process one can disregard or diminish in any way the right recognized in the previous judgment and that res judicata applies if there is a manifest contradiction between what has already been resolved and what is again intended, if one proceeds to know anew." This formal exception of non bis in idem establishes a presumption of truth that binds the judge, even if the conditions of the exceptio rei iudicata are not met.  </w:t>
        <w:br/>
        <w:t xml:space="preserve">3rd The Constitutional Court in repeated doctrine states that "....in consideration that the process is informed by the principle of material truth, which commits the judicial body to the discovery of the entirety of the legal-material relationship debated and which obliges it to the exhaustive introduction of the evidentiary material, determining in all that the due effective judicial protection sanctioned by Article 24.1 of the Spanish Constitution has been violated."  </w:t>
        <w:br/>
        <w:t xml:space="preserve">NINTH.- The above is relevant, as this COMPETITION CHAMBER of the National Commission of Markets and Competition  </w:t>
        <w:br/>
        <w:t xml:space="preserve">1st can say nothing about the Resolution of July 30, 2013, of the Council of the National Competition Commission (now extinct), Sanctioning File S/0380/11 Car Rentals, which until it has been modified by a final judgment issued in the contentious-administrative jurisdiction enjoys firmness in this prior avenue.  </w:t>
        <w:br/>
        <w:t xml:space="preserve">Or in other words, regarding the sanctions and quantification of the fines, it must adhere to what was agreed therein.  </w:t>
        <w:br/>
        <w:t xml:space="preserve">2nd To the detriment of the above, what has been resolved by this Competition Chamber in this Sanctioning File S/0404/12 AENA Commercial Services must be understood as applicable to the sanctioned companies, although based on the provisions of Articles 65 and 66 of Law 15/2007 in relation and concordance with the doctrine developed in the previous Legal Basis.  </w:t>
        <w:br/>
        <w:t xml:space="preserve">And consequently, the companies that have already been investigated, sanctioned, and fined in Sanctioning File S/0380/11 cannot also be sanctioned in this Sanctioning File S/404/12 for the same conduct and must be exempted from their payment, and these are:  </w:t>
        <w:br/>
        <w:t xml:space="preserve"> AURIGACROWN CAR HIRE  </w:t>
        <w:br/>
        <w:t xml:space="preserve"> AVIS  </w:t>
        <w:br/>
        <w:t xml:space="preserve"> CENTAURO RENT A CAR  </w:t>
        <w:br/>
        <w:t xml:space="preserve"> GOLDCAR SPAIN  </w:t>
        <w:br/>
        <w:t xml:space="preserve"> RECORD-GO  </w:t>
        <w:br/>
        <w:t xml:space="preserve"> SOLMAR  </w:t>
        <w:br/>
        <w:t xml:space="preserve">Having seen the cited legal provisions and others of general acceptance, THE COMPETITION CHAMBER of this National Commission of Markets and Competition, in session on December 19, 2013  </w:t>
        <w:br/>
        <w:t xml:space="preserve">HAS RESOLVED  </w:t>
        <w:br/>
        <w:t xml:space="preserve">FIRST.- To declare the existence of a single and continuous infringement of those prohibited in Article 1 of Law 16/1989, of July 17, on the Defense of Competition; in Article 1 of Law 15/2007, of July 3, on the Defense of Competition; and in Article 101 of the Founding Treaty of the European Union, consisting of the exchange of commercially sensitive information between car rental companies, concessionaires at the airports of La Coruña, Asturias, Alicante, Almería, Barcelona, Bilbao, El Hierro, Fuerteventura, Gran Canaria, Granada, Ibiza, Jerez de la Frontera, La Palma, Lanzarote, Madrid, Málaga, Menorca, Murcia, Palma de Mallorca, Pamplona, Santiago de Compostela, Reus, San Sebastián, Santander, Tenerife Norte, Tenerife Sur, Valencia, Valladolid, Vigo, Vitoria, and Zaragoza, with the necessary collaboration of AENA and AENA AEROPUERTOS, from April 19, 1999, to September 5, 2012.  </w:t>
        <w:br/>
        <w:t xml:space="preserve">Conduct that under the provisions of Article 62.4.a) of Law 15/2007, of July 3, on the Defense of Competition must be classified as very serious.  </w:t>
        <w:br/>
        <w:t xml:space="preserve">Conduct that should have been subsumed in Sanctioning File S/0380/11 Car Rentals, since the complaint of the conduct, the conduct, and the infringements, in both sanctioning files, enjoy unity of act: creation of a cartel with the aim of fixing prices in the market for unaccompanied car rentals and the establishment of certain conditions, as well as the exchange of commercially sensitive information among the companies that comprise it.  </w:t>
        <w:br/>
        <w:t xml:space="preserve">SECOND.- To declare responsible for said single and continuous infringement, consisting of the exchange of commercially sensitive information between car rental companies, concessionaires at the aforementioned airports, the following companies:  </w:t>
        <w:br/>
        <w:t xml:space="preserve">1. AENA  </w:t>
        <w:br/>
        <w:t xml:space="preserve">2. AENA AEROPUERTOS  </w:t>
        <w:br/>
        <w:t xml:space="preserve">3. ATESA  </w:t>
        <w:br/>
        <w:t xml:space="preserve">4. AVIS  </w:t>
        <w:br/>
        <w:t xml:space="preserve">5. SOLMAR ALQUILER DE VEHÍCULOS  </w:t>
        <w:br/>
        <w:t xml:space="preserve">6. CENTAURO RENT A CAR  </w:t>
        <w:br/>
        <w:t xml:space="preserve">7. AURIGACROWN CAR HIRE  </w:t>
        <w:br/>
        <w:t xml:space="preserve">8. AUTOS CABRERA MEDIDA  </w:t>
        <w:br/>
        <w:t xml:space="preserve">9. CANARY ISLANDS CAR  </w:t>
        <w:br/>
        <w:t xml:space="preserve">10. PAYLESS  </w:t>
        <w:br/>
        <w:t xml:space="preserve">11. CORAL CAR OWNERS CARS  </w:t>
        <w:br/>
        <w:t xml:space="preserve">12. TOP CAR AUTO REISEN  </w:t>
        <w:br/>
        <w:t xml:space="preserve">13. RECORD GO ALQUILER  </w:t>
        <w:br/>
        <w:t xml:space="preserve">14. EUROPCAR IB  </w:t>
        <w:br/>
        <w:t xml:space="preserve">15. SIXT RENT A CAR  </w:t>
        <w:br/>
        <w:t xml:space="preserve">16. GOLDCAR SPAIN  </w:t>
        <w:br/>
        <w:t xml:space="preserve">17. HERTZ DE ESPAÑA  </w:t>
        <w:br/>
        <w:t xml:space="preserve">18. SPECIAL PRICES AUTO REISEN  </w:t>
        <w:br/>
        <w:t xml:space="preserve">THIRD.- To impose on them, as authors of the described conduct and in consideration of the circumstances of direct responsibility, aggravating and/or mitigating, the following sanctioning fines under Article 10 of Law 16/1989, of July 17, on the Defense of Competition, as applicable not only based on the duration of the conduct but also as more beneficial under the authority of the Law.  </w:t>
        <w:br/>
        <w:t xml:space="preserve">1. AENA €832,959  </w:t>
        <w:br/>
        <w:t xml:space="preserve">2. AENA AEROPUERTOS €68,559  </w:t>
        <w:br/>
        <w:t xml:space="preserve">3. ATESA €552,982  </w:t>
        <w:br/>
        <w:t xml:space="preserve">4. AVIS €764,924  </w:t>
        <w:br/>
        <w:t xml:space="preserve">5. SOLMAR €285,032  </w:t>
        <w:br/>
        <w:t xml:space="preserve">6. CENTAURO RENT A CAR €70,477  </w:t>
        <w:br/>
        <w:t xml:space="preserve">7. AURIGACROWN CAR HIRE €181,620  </w:t>
        <w:br/>
        <w:t xml:space="preserve">8. AUTOS CABRERA MEDINA €16,114  </w:t>
        <w:br/>
        <w:t>9. CANARY ISLANDS €128,909</w:t>
      </w:r>
    </w:p>
    <w:p>
      <w:r>
        <w:rPr>
          <w:b/>
        </w:rPr>
        <w:t>[Pages 34–35]</w:t>
      </w:r>
    </w:p>
    <w:p>
      <w:r>
        <w:t xml:space="preserve">10. PAYLESS CAR €uros 12,648  </w:t>
        <w:br/>
        <w:t xml:space="preserve">11. CORAL CAR €uros 15,853  </w:t>
        <w:br/>
        <w:t xml:space="preserve">12. OWNERS CARS €uros 2,657  </w:t>
        <w:br/>
        <w:t xml:space="preserve">13. TOP CARS AUTO REISEN €uros 31,990  </w:t>
        <w:br/>
        <w:t xml:space="preserve">14. RECORD-GO €uros 48,176  </w:t>
        <w:br/>
        <w:t xml:space="preserve">15. EUROPCAR IB €uros 862,793  </w:t>
        <w:br/>
        <w:t xml:space="preserve">16. SIXT RENT A CAR €uros 37,369  </w:t>
        <w:br/>
        <w:t xml:space="preserve">17. GOLD CAR SPAIN €uros 339,888  </w:t>
        <w:br/>
        <w:t xml:space="preserve">18. HERTZ DE ESPAÑA €uros 519,056  </w:t>
        <w:br/>
        <w:t xml:space="preserve">19. SPECIAL PRICES AUTO REISEN €uros 47,985  </w:t>
        <w:br/>
        <w:t xml:space="preserve">The following companies are exempt from the payment of this fine for the reasons previously developed: AURIGACROWN, AVIS, CENTAURO RENT A CAR, GOLDCAR SPAIN, RECORD-GO, and SOLMAR.  </w:t>
        <w:br/>
        <w:t xml:space="preserve">FOURTH.- Declare the filing of the proceedings followed against RENT A CAR PIÑERO S.L., for not having proven the commission of an infringement, pursuant to Article 33.3 of Royal Decree 261/2008, of February 22, which approves the Regulation on the Defense of Competition.  </w:t>
        <w:br/>
        <w:t xml:space="preserve">FIFTH.- Order each and every one of the sanctioned companies to publish at their own expense and within fifteen days from the day following the notification of this Resolution, the Dispositive Part of the same in two of the national newspapers with the widest circulation, regardless of whether it is also posted on the official website of this National Commission of Markets and Competition.  </w:t>
        <w:br/>
        <w:t xml:space="preserve">All sanctioned companies will disseminate the full text of this Resolution among their associates and participants.  </w:t>
        <w:br/>
        <w:t xml:space="preserve">In case of total or partial non-compliance, or if any delay occurs, a coercive fine of €3,000 will be imposed for each day of delay or non-compliance with what is agreed, specified, and resolved here.  </w:t>
        <w:br/>
        <w:t xml:space="preserve">In any case, all sanctioned companies will prove and justify, reliably, before the Competition Directorate of this National Commission of Markets and Competition the punctual and correct compliance with everything agreed and ordered in the previous sections (Dispositive Part).  </w:t>
        <w:br/>
        <w:t xml:space="preserve">SIXTH.- Urge the Competition Directorate of this National Commission of Markets and Competition to monitor compliance with what is agreed in this Resolution.  </w:t>
        <w:br/>
        <w:t>Communicate this Resolution to the Competition Directorate of this National Commission of Markets and Competition and notify each and every interested party, informing them that there is no appeal against it in the administrative prior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