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https://www.cnmc.es/expedientes/s040512</w:t>
      </w:r>
    </w:p>
    <w:p>
      <w:r>
        <w:t>Pages translated : 8</w:t>
      </w:r>
    </w:p>
    <w:p/>
    <w:p>
      <w:r>
        <w:rPr>
          <w:b/>
        </w:rPr>
        <w:t>[Pages 1–3]</w:t>
      </w:r>
    </w:p>
    <w:p>
      <w:r>
        <w:t xml:space="preserve">Id. Cendoj: 28079230062013100117  </w:t>
        <w:br/>
        <w:t xml:space="preserve">Body: National Court. Contentious Chamber  </w:t>
        <w:br/>
        <w:t xml:space="preserve">Venue: Madrid  </w:t>
        <w:br/>
        <w:t xml:space="preserve">Section: 6  </w:t>
        <w:br/>
        <w:t xml:space="preserve">Resolution No:  </w:t>
        <w:br/>
        <w:t xml:space="preserve">Date of Resolution: 03/22/2013  </w:t>
        <w:br/>
        <w:t xml:space="preserve">Appeal No: 315/2012  </w:t>
        <w:br/>
        <w:t xml:space="preserve">Jurisdiction: Contentious  </w:t>
        <w:br/>
        <w:t xml:space="preserve">Rapporteur: MERCEDES PEDRAZ CALVO  </w:t>
        <w:br/>
        <w:t xml:space="preserve">Procedure: CONTENTIOUS  </w:t>
        <w:br/>
        <w:t xml:space="preserve">Type of Resolution: Judgment  </w:t>
        <w:br/>
        <w:t xml:space="preserve">Summary:  </w:t>
        <w:br/>
        <w:t xml:space="preserve">Archive of complaint for violation of the Competition Defense Law  </w:t>
        <w:br/>
        <w:t xml:space="preserve">Language:  </w:t>
        <w:br/>
        <w:t xml:space="preserve">Spanish  </w:t>
        <w:br/>
        <w:t xml:space="preserve">JUDGMENT  </w:t>
        <w:br/>
        <w:t xml:space="preserve">Madrid, on the twenty-second of March two thousand thirteen.  </w:t>
        <w:br/>
        <w:t xml:space="preserve">Having seen the contentious administrative appeal No. 315/2012 brought before the Contentious Administrative Chamber of the National Court by the SPANISH CONFEDERATION OF AUTOMOBILE REPAIR WORKSHOPS AND SIMILAR (CETRAA) and the FEDERATION OF AUTOMOBILE DEALERS ASSOCIATIONS (FACONAUTO), represented by Attorney Mr. Oterino Menéndez against the State Administration, directed and represented by Mr. State Attorney, regarding the Resolution of the National Competition Commission dated April 26, 2012, concerning the archive of the complaint for violation of the Competition Defense Law, with an indeterminate amount. The INSTITUTE OF RESEARCH ON VEHICLE REPAIR S.A. appeared as co-defendant, represented by Attorney Mr. Gamarra Mejías. The rapporteur being Judge Dª MERCEDES PEDRAZ CALVO.  </w:t>
        <w:br/>
        <w:t xml:space="preserve">FACTUAL BACKGROUND  </w:t>
        <w:br/>
        <w:t xml:space="preserve">FIRST -. The indicated legal representation filed a contentious-administrative appeal before this Chamber against the referenced Resolution by means of a written submission dated June 29, 2012. By Decree of the Secretary, it was agreed to consider the appeal filed, ordering the claim of the administrative file.  </w:t>
        <w:br/>
        <w:t xml:space="preserve">SECOND -. At the appropriate procedural moment, the legal representation of the plaintiff formalized the complaint through a written submission dated November 15, 2012, in which, after alleging the facts and legal grounds deemed necessary, ultimately requested that a judgment be issued declaring the appeal admissible and annulling the administrative act under trial. Ordering the CNC to open the corresponding sanctioning file.  </w:t>
        <w:br/>
        <w:t xml:space="preserve">THIRD -. The State Attorney responded to the complaint to oppose it, and based on the factual and legal grounds deemed appropriate, ultimately requested the dismissal of the appeal.  </w:t>
        <w:br/>
        <w:t xml:space="preserve">FOURTH -. The co-defendant also submitted a response to the complaint to oppose it and request its dismissal, outlining the factual and legal grounds supporting such a claim.  </w:t>
        <w:br/>
        <w:t xml:space="preserve">FIFTH -. The Chamber issued a Provision setting the date for the voting and ruling on the appeal for March 20, 2013, during which it was deliberated and voted upon, having observed the legal prescriptions in its processing.  </w:t>
        <w:br/>
        <w:t xml:space="preserve">LEGAL GROUNDS  </w:t>
        <w:br/>
        <w:t xml:space="preserve">FIRST .- The object of challenge in this contentious-administrative appeal is the agreement issued by the National Competition Commission on April 19, 2012, in file S/0405/11 BAREMO CENTRO ZARAGOZA, initiated following the complaint filed against the INSTITUTE OF RESEARCH ON VEHICLE REPAIR S.A. OF CENTRO ZARAGOZA and its shareholders, by the current plaintiffs, SPANISH CONFEDERATION OF AUTOMOBILE REPAIR WORKSHOPS AND SIMILAR (CETRAA) and FEDERATION OF AUTOMOBILE DEALERS ASSOCIATIONS (FACONAUTO) for restrictive competition practices.  </w:t>
        <w:br/>
        <w:t xml:space="preserve">SECOND -. The contested resolution establishes:  </w:t>
        <w:br/>
        <w:t xml:space="preserve">1-. The parties:  </w:t>
        <w:br/>
        <w:t xml:space="preserve">a) complainant  </w:t>
        <w:br/>
        <w:t xml:space="preserve">The Federation of Automobile Dealers Associations (FACONAUTO), and the Spanish Confederation of Automobile Repair Workshops and Similar (CETRAA), are the main associations that group together workshops and motor vehicle dealers. FACONAUTO groups the associations of dealers of the main automobile brands, while CETRAA represents 43 provincial associations that group nearly 30,000 companies in the sector (folio 2).  </w:t>
        <w:br/>
        <w:t xml:space="preserve">b) defendant  </w:t>
        <w:br/>
        <w:t xml:space="preserve">The Institute of Research on Vehicle Repair (IIRV) Centro Zaragoza was created as a public limited company in 1987, at the initiative of a group of 14 insurance entities operating in the automobile insurance sector, to which other entities from the sector have subsequently joined, including the Insurance Compensation Consortium, which is part of the Board of Directors of IIRV. At the relevant date, 24 entities were part of the Institute, which, according to the complainant, accounted for approximately 80% of the volume of automobile insurance in Spain, and 30% in Portugal.  </w:t>
        <w:br/>
        <w:t xml:space="preserve">The fundamental objectives of Centro Zaragoza are: "Research for the management and control of material damages, as well as for the prevention of bodily injuries, within automobile insurance; and the promotion of initiatives for the improvement of Road Safety."  </w:t>
        <w:br/>
        <w:t xml:space="preserve">To this end, Centro Zaragoza:  </w:t>
        <w:br/>
        <w:t xml:space="preserve">- Investigates, experiments, and studies the characteristics, methods, and systems of repairing vehicle damage resulting from a traffic accident.  </w:t>
        <w:br/>
        <w:t xml:space="preserve">- Actively works on R&amp;D&amp;I projects related to traffic accidents and the analysis of vehicle behavior and their safety elements, to reduce road accident rates and improve road safety.  </w:t>
        <w:br/>
        <w:t xml:space="preserve">- Develops ongoing training for professional experts involved in some way in the appraisal and repair of damaged vehicles.  </w:t>
        <w:br/>
        <w:t xml:space="preserve">- Certifies the quality of parts, workshops, products, and services.  </w:t>
        <w:br/>
        <w:t xml:space="preserve">- Acts as the technical liaison of UNESPA with the State Security Forces and Corps (F.C.S.E.) regarding the illicit trafficking of vehicles, to increase the recoverability of stolen and indemnified vehicles from the insurance sector.  </w:t>
        <w:br/>
        <w:t xml:space="preserve">- Disseminates the results of its research through its media, publications, and training activities (folios 1469 to 1482).  </w:t>
        <w:br/>
        <w:t xml:space="preserve">2-. Regulatory Framework:  </w:t>
        <w:br/>
        <w:t xml:space="preserve">Law 50/80 of the Insurance Contract grants the policyholder the right to freely choose the workshop in which to repair their vehicle after the accident.  </w:t>
        <w:br/>
        <w:t xml:space="preserve">3-. The facts that are understood to be accredited by the CNC are:  </w:t>
        <w:br/>
        <w:t xml:space="preserve">The so-called BCZ BAREMO OF THE ZARAGOZA CENTER is a tool designed to quickly and easily provide a budget of times and precise material uses to carry out the repair of a damaged automobile part (bodywork) in an accident. The IIRV of the Zaragoza center, using its own technical means, has developed this tool, which, once labor and paint prices are applied, offers an estimate of the repair cost, like any other scale used by workshops and appraisers responsible for the valuation of a damaged vehicle.  </w:t>
        <w:br/>
        <w:t>"The BCZ, according to the defendant, is an extensive compendium that includes a manual of painting work methods, specifying the possible painting processes, describing the necessary tools, facilities, and methodology followed for carrying out painting work in automobile repair workshops. It specifies the necessary operations in each process, the materials required for each of them, and includes an estimate of times and material consumption for each repair. The scale has a correction factor that decreases the time spent per piece, the more pieces the repair includes. These translate into proportionally cheaper repairs the more extensive they are (folios 1486 and 1487)."</w:t>
      </w:r>
    </w:p>
    <w:p>
      <w:r>
        <w:rPr>
          <w:b/>
        </w:rPr>
        <w:t>[Pages 4–6]</w:t>
      </w:r>
    </w:p>
    <w:p>
      <w:r>
        <w:t>repair is influenced by the BCZ, as it standardizes certain parameters that affect the final prices paid by insurance companies."</w:t>
      </w:r>
    </w:p>
    <w:p>
      <w:r>
        <w:t>SIXTH -. The CNC also determined that the BCZ does not constitute an anti-competitive object, as it aims to systematize the repair tasks objectively and estimate the time and materials used through advanced methods and techniques. Therefore, it does not have an anti-competitive purpose and, on the contrary, constitutes an element of competition, modernization, and increased efficiency in the sector.</w:t>
      </w:r>
    </w:p>
    <w:p>
      <w:r>
        <w:t>SEVENTH -. The CNC concludes that the complaints made by the appellant do not demonstrate sufficient grounds to challenge the legality of the BCZ or its application by insurance companies. The evidence presented does not support the allegations of anti-competitive behavior, and the conclusions drawn by the CNC are based on a thorough analysis of the facts and applicable law.</w:t>
      </w:r>
    </w:p>
    <w:p>
      <w:r>
        <w:t>EIGHTH -. The CNC's resolution is upheld, and the appeal is dismissed in its entirety. The appellant is ordered to bear the costs of the proceedings.</w:t>
      </w:r>
    </w:p>
    <w:p>
      <w:r>
        <w:rPr>
          <w:b/>
        </w:rPr>
        <w:t>[Pages 7–8]</w:t>
      </w:r>
    </w:p>
    <w:p>
      <w:r>
        <w:t>the repair fundamentally depends, excluding the cost of the parts replaced with new ones, on the time spent on the repair and the price of that factor. In turn, the time spent on the repair will depend on other variables such as the skill of the worker and the level of technology available for the repair in the workshop responsible for it. To the extent that these two variables can present significant differences between workshops, and even with the same price for the factors used, the final price of the repair may differ from one workshop to another." The CNC concludes that consequently it is an instrument suitable for reducing the degree of price competition in the relevant market. This also coincides with another of the considerations made by the plaintiff: "The development of the scale may have effects on competition."</w:t>
      </w:r>
    </w:p>
    <w:p>
      <w:r>
        <w:t>However, there is a fundamental element in the CNC's analysis that is not addressed by the appellant: the possibility that the development of this scale could affect free competition is inversely proportional to the number of scales used in the market and the intensity of their use therein. And this crucial circumstance is joined by another equally relevant one: it has not been proven that the use of the scale was imposed by the insurers on the appraisers.</w:t>
      </w:r>
    </w:p>
    <w:p>
      <w:r>
        <w:t>The plaintiff merely points out that if the use has increased by 20 points, the share is not 34% but much higher because the percentage should be calculated on 80 and not on 100. Regardless of the fact that no evidence has been presented on this specific point, and the CNC precisely states that "it has not been proven another element alleged, such as the imposition of the use of the BCZ by insurers on appraisers and workshops, nor can its existence be deduced from the fact that the use of the BCZ has reached 34% of the valuations made, as claimed by the complainants," the Administration specifically indicates that different reasons can be argued as to why a product created years ago would have increased its market penetration to reach, ten years later, a share of 34%. This mere fact by itself does not reveal imposition: it is noted in the contested administrative act that there are explanations: "good performance of the product, such as speed in its application, ease of use, or obtaining more competitive valuations that ensure the workshop a greater volume of contracts with insurers. On the other hand, the data on the increase in share reveals that it has been achieved gradually, over a relatively long period of time, ten years, which diminishes the plausibility of the thesis of the agreement and forced implementation of the BCZ held by the complainants. The fact that Mapfre was, at least until December 2010, one of the shareholders of IIRV, and its scale, the CESVIMAP, was and continues to be the main tool used in the valuation of bodywork and paint repairs does not support the thesis of the existence of a concert to impose the use of the BCZ scale.</w:t>
      </w:r>
    </w:p>
    <w:p>
      <w:r>
        <w:t>Finally, the CNC also points out, against the plaintiff's claim, that the efficiencies generated in this market by the use of the scale, if contrary to free competition, would bring it within the scope of Article 1.3 LDC. The resolution explains what the efficiencies would be, and in this regard, the appellant does not make any allegations to the contrary:</w:t>
        <w:br/>
        <w:t>-. Facilitate and expedite the time spent on the valuation of the work to be done for both workshops and appraisers, with the corresponding reduction of waiting times until obtaining the necessary and essential valuation to grant the corresponding authorization and proceed with the repair.</w:t>
      </w:r>
    </w:p>
    <w:p>
      <w:r>
        <w:t>-. The reduction of time benefits the policyholder and the workshops.</w:t>
      </w:r>
    </w:p>
    <w:p>
      <w:r>
        <w:t>From what has been stated, the dismissal of the present appeal and the confirmation of the contested administrative act in the aspect that has been the subject of the appeal follows.</w:t>
      </w:r>
    </w:p>
    <w:p>
      <w:r>
        <w:t>SIXTH -. The reform of the jurisdictional law regarding procedural costs was published in the BOE on October 11, 2011, stating in its final provision that it would come into force twenty days after said publication. Therefore, it came into force on October 31, 2011, and was drafted as follows: "art. 139.1. In the first or only instance, the judicial body, when issuing a judgment or resolving by order the appeals or incidents brought before it, shall impose the costs on the party that has seen all its claims rejected, unless it appreciates and reasons that the case presented serious doubts of fact or law."</w:t>
      </w:r>
    </w:p>
    <w:p>
      <w:r>
        <w:t>It is therefore appropriate to condemn the plaintiff to pay the costs, who has seen their contentious-administrative appeal fully rejected.</w:t>
      </w:r>
    </w:p>
    <w:p>
      <w:r>
        <w:t>HAVING SEEN the cited precepts and others of general and pertinent application, by the power granted to us by the Constitution,</w:t>
      </w:r>
    </w:p>
    <w:p>
      <w:r>
        <w:t>WE DECREE</w:t>
      </w:r>
    </w:p>
    <w:p>
      <w:r>
        <w:t>That we must DISMISS AND DISMISS</w:t>
      </w:r>
    </w:p>
    <w:p>
      <w:r>
        <w:t>the contentious-administrative appeal filed by the legal representation of the CONFEDERACION ESPAÑOLA DE TALLERES DE REPARACION DE AUTOMOVILES Y AFINES (CETRAA) and the FEDERACION DE ASOCIACIONES DE CONCESIONARIOS DE LA AUTOMOCIÓN (FACONAUTO) against the Agreement issued on April 26, 2012, by the National Competition Commission described in the first legal ground of this judgment, which we confirm. With condemnation to pay the costs to the plaintiff.</w:t>
      </w:r>
    </w:p>
    <w:p>
      <w:r>
        <w:t>Notify the parties of this judgment, complying with the provisions of Article 248, paragraph 4 of the Organic Law of the Judiciary.</w:t>
      </w:r>
    </w:p>
    <w:p>
      <w:r>
        <w:t>Thus, by this our Judgment, a testimony of which will be sent in due course to the office of origin, for legal purposes, along with the file - if applicable - we pronounce, order, and rule.</w:t>
      </w:r>
    </w:p>
    <w:p>
      <w:r>
        <w:t>PUBLICATION.- The previous Judgment was read and published by the Honorable Mr. Magistrate Rapporteur on this date, while the Sixth Section of the Administrative-Contentious Chamber of the National Court was holding a Public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