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https://www.cnmc.es/expedientes/s041312</w:t>
      </w:r>
    </w:p>
    <w:p>
      <w:r>
        <w:t>Pages translated : 27</w:t>
      </w:r>
    </w:p>
    <w:p/>
    <w:p>
      <w:r>
        <w:rPr>
          <w:b/>
        </w:rPr>
        <w:t>[Pages 1–3]</w:t>
      </w:r>
    </w:p>
    <w:p>
      <w:r>
        <w:t xml:space="preserve">RESOLUTION  </w:t>
        <w:br/>
        <w:t xml:space="preserve">(Exp. S/0413/12 BUSINESS ASSOCIATION OF EXPERT APPRAISAL AND JUDICIAL VALUATIONS).  </w:t>
        <w:br/>
        <w:t xml:space="preserve">COUNCIL: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Díez Martín, Councilor  </w:t>
        <w:br/>
        <w:t xml:space="preserve">In Madrid, on September 10, 2013.  </w:t>
        <w:br/>
        <w:t>The Council of the National Competition Commission, with the composition expressed and with Councilor rapporteur Ms. María Jesús González López, has issued the following resolution in the file S/0413/12 BUSINESS ASSOCIATION OF EXPERT APPRAISAL AND JUDICIAL VALUATIONS, initiated on March 27, 2012, for alleged restrictive practices of competition, in accordance with Law 15/2007, of July 3, on the Defense of Competition (LDC).</w:t>
      </w:r>
    </w:p>
    <w:p>
      <w:r>
        <w:t xml:space="preserve">FACTUAL BACKGROUND  </w:t>
        <w:br/>
        <w:t xml:space="preserve">1. The Directorate of Investigation (DI) became aware of the publication on the website of the Business Association of Expert Appraisal and Judicial Valuations of a document entitled "Recommended Fees for Appraisal and Valuation Reports" and on March 27, 2012, decided to initiate a sanctioning file against said Association due to the existence of rational indications of a recommendation of minimum prices prohibited by Article 1 of the LDC (folio 7).  </w:t>
        <w:br/>
        <w:t>2. On July 10, 2012, the DI requested the AEPVJ to provide information regarding: a) the date on which the agreement on the document "Recommended Fees for Appraisal and Valuation Reports" was adopted; the body that approved them, and the date of their publication on the Association's website; b) how and to whom the "Recommended Fees for Appraisal and Valuation Reports" had been disseminated and whether they had issued judicial guidelines; and c) the specialties in which the members exercise their work and whether the Association charged any amount from the members (folio 152). The response to this request for information took place on July 26, 2012 (folios 158 to 162).</w:t>
      </w:r>
    </w:p>
    <w:p>
      <w:r>
        <w:t xml:space="preserve">3. On August 31, 2013, the DI made a new request for information in which a sample of members, chosen considering the different Autonomous Communities where the experts are domiciled and their specialties, was asked to indicate whether they had applied the "Recommended Fees for Appraisal and Valuation Reports" approved by the AEPVJ and published on the Association's website in February 2012, and to provide copies of the correlating invoices for appraisals and judicial expert opinions made from the publication of said fees to the present (folio 201). Responses to this request were received between September 10 and October 16, 2012 (folios 231 to 251).  </w:t>
        <w:br/>
        <w:t xml:space="preserve">4. On October 1, 2012, the DI requested the AEPVJ for the date of its constitution and a copy of its bylaws; a description of the composition and functioning of the governing bodies; accreditation of the appointment of XXX as President of the Association as well as her capacity to represent it. It was also requested the names of the members of the Commission that established the criteria for preparing the document "Recommended Fees for Appraisal and Valuation Reports" and to specify the body and/or members of the association that agreed to the approval of said document and its publication. Finally, it was asked to explain whether, in addition to the website, the Association had used other means to disseminate the document (folio 252). A response to this request was received on October 10, 2012 (folios 259 to 274).  </w:t>
        <w:br/>
        <w:t xml:space="preserve">5. On April 12, 2012, the AEPVJ submitted a written statement of allegations regarding the initiation of the file (folio 14) and subsequently, on August 2, 2012, submitted a new written statement of allegations (folios 173 to 200).  </w:t>
        <w:br/>
        <w:t xml:space="preserve">6. On November 8, 2012, in accordance with the provisions of Article 50.3 of the LDC, the DI formulated the Statement of Specification of Facts (PCH), which was notified to the AEPVJ on November 13, 2012 (folios 297-320). The Association submitted allegations to the PCH on November 29, 2012, requesting the practice of certain evidence (folios 323-326).  </w:t>
        <w:br/>
        <w:t xml:space="preserve">7. On December 18, 2012, and in accordance with the provisions of Article 33.1 of the RDC, the DI proceeded to close the instruction phase, communicating it to the AEPVJ.  </w:t>
        <w:br/>
        <w:t xml:space="preserve">8. On February 13, 2013, in accordance with Article 50.4 of the LDC, the DI notified the following Proposal for Resolution (PR) to the AEPVJ for it to formulate any allegations it deemed appropriate:  </w:t>
        <w:br/>
        <w:t xml:space="preserve">“FIRST. That the conduct consisting of the definition within the Commission appointed by the General Assembly of the AEPVJ of indicative criteria for setting professional fees for expert activity as well as its dissemination through the document “Recommended Fees for Appraisal and Valuation Reports,” published on the Association's website in February and March 2012, constitutes a price recommendation prohibited by Article 1.1a) of the LDC.  </w:t>
        <w:br/>
        <w:t xml:space="preserve">SECOND. The AEPVJ is considered responsible for this infringement.  </w:t>
        <w:br/>
        <w:t xml:space="preserve">THIRD. That the prohibited conduct be classified, for the purposes of the sanction to be imposed, as a serious infringement according to Article 62.3 a) of the LDC.  </w:t>
        <w:br/>
        <w:t xml:space="preserve">FOURTH. That the sanction provided for in Article 63 of the LDC be imposed, taking into account the criteria for determining the sanction provided for in Article 64 of the LDC.  </w:t>
        <w:br/>
        <w:t xml:space="preserve">FIFTH. That the AEPVJ be ordered to refrain from engaging in practices such as those investigated and any other of equivalent effect in the future.  </w:t>
        <w:br/>
        <w:t xml:space="preserve">SIXTH. That the other pronouncements referred to in Article 53 of the LDC be adopted.”  </w:t>
        <w:br/>
        <w:t xml:space="preserve">9. On March 1, 2013, a written statement of allegations from the AEPVJ to the PR was received at the CNC (folios 385-392).  </w:t>
        <w:br/>
        <w:t xml:space="preserve">10. On March 5, 2013, in accordance with the provisions of Articles 50.5 of the LDC and 34.2 of the RDC, the DI submitted the reference file to this Council of the CNC along with the Report containing the Proposal for Resolution previously transcribed and the allegations of the party.  </w:t>
        <w:br/>
        <w:t xml:space="preserve">11. On June 27, 2013, the Council, in accordance with the provisions of Article 51.4 of the LDC, issued an Agreement of Requalification by which it modifies the legal qualification of the analyzed facts, since the conduct attributed to the Spanish Association of Expert Appraisal and Judicial Valuations consists of a collective recommendation directed at competing companies and, therefore, a very serious infringement according to Article 62.4, a) LDC and not a serious infringement (Article 62.3 a LDC) as proposed by the DI. The Agreement of Requalification sent to the DI and the interested party is as follows (folios 419-423):  </w:t>
        <w:br/>
        <w:t xml:space="preserve">“FIRST.- Modify the legal qualification of the analyzed facts in the present file since the conduct attributed to the AEPVJ, of establishing and publishing the indicative criteria for setting professional fees for expert activity, must be classified as a very serious infringement according to the provisions of Article 62.4 a) of the LDC.  </w:t>
        <w:br/>
        <w:t xml:space="preserve">SECOND.- Submit the new qualification to the interested party and to the DI so that, in accordance with the provisions of Article 51.4 of the LDC, within 15 days they may formulate the allegations they deem appropriate.  </w:t>
        <w:br/>
        <w:t>THIRD.- Suspend the maximum resolution period of the procedure effective from June 27, 2013, until the interested parties present their allegations regarding the new qualification or the granted period elapses.”</w:t>
      </w:r>
    </w:p>
    <w:p>
      <w:r>
        <w:rPr>
          <w:b/>
        </w:rPr>
        <w:t>[Pages 4–6]</w:t>
      </w:r>
    </w:p>
    <w:p>
      <w:r>
        <w:t>12. On July 3, 2013, the DI submitted its allegations regarding the Council's Requalification Agreement of June 27, 2013, in which it expresses its agreement with the modification of the legal qualification of the facts analyzed in the file (folio 432-433).</w:t>
      </w:r>
    </w:p>
    <w:p>
      <w:r>
        <w:t>13. On July 22, 2013, the allegations from the Business Association of Expert Appraisal and Judicial Valuations regarding the Council's Requalification Agreement of June 27, 2013 were received (folios 434-442).</w:t>
      </w:r>
    </w:p>
    <w:p>
      <w:r>
        <w:t>14. The Association expresses its disagreement with the Council's assessment that the prices disseminated through the A.P.P.J. website constitute a collective recommendation directed at competing companies, and argues that it cannot be sanctioned since it has not violated Article 1 of the LDC at any time and, therefore, has not committed a very serious infringement.</w:t>
      </w:r>
    </w:p>
    <w:p>
      <w:r>
        <w:t>15. On July 31, 2013, for the purpose of determining the sanction, the Council requested the AEPVJ that its members submit certain information regarding their business volume, suspending the deadline for the resolution of the procedure, which was resumed on August 21, 2013. The responses to this request were received by the CNC between August 13 and September 3, 2013.</w:t>
      </w:r>
    </w:p>
    <w:p>
      <w:r>
        <w:t>16. The Council of the CNC deliberated and concluded this Resolution in its meeting on September 4, 2013.</w:t>
      </w:r>
    </w:p>
    <w:p>
      <w:r>
        <w:t>17. The interested party in this file is:</w:t>
        <w:br/>
        <w:t>- Business Association of Expert Appraisal and Judicial Valuations (AEPVJ).</w:t>
      </w:r>
    </w:p>
    <w:p>
      <w:r>
        <w:t>PROVEN FACTS</w:t>
        <w:br/>
        <w:t>This Council considers the relevant facts for the Resolution of this file to be those outlined in points 3, 4, and 5 of the PCH, which are transcribed below:</w:t>
      </w:r>
    </w:p>
    <w:p>
      <w:r>
        <w:t>“3. THE PARTIES</w:t>
        <w:br/>
        <w:t>3.1 Business Association of Expert Appraisal and Judicial Valuations</w:t>
        <w:br/>
        <w:t>(11) The AEPVJ was established in Barcelona on May 18, 2004, according to its Founding Act (folios 263 to 264). Although the second clause of said Act establishes that the AEPVJ has its territorial scope primarily in Catalonia, the members have their residences distributed throughout Spanish territory. Furthermore, Article 12 of its statutes establishes that the Board of Directors will have state-level scope of action and representation, and that “each autonomous community will have a vice president whose action and representation will be limited to their Autonomous Community” (folio 268). Therefore, it can be stated that its scope of action is national. The number of members amounts to 83 (folios 17 to 20).</w:t>
      </w:r>
    </w:p>
    <w:p>
      <w:r>
        <w:t>(12) According to Article 27 of the professional standards of the AEPVJ, “this association is configured as a private associative entity with its own legal personality and full capacity to act for the fulfillment of its purposes.” (Folio 32).</w:t>
      </w:r>
    </w:p>
    <w:p>
      <w:r>
        <w:t>(13) It brings together professionals from different sectors as indicated on its website: “The BUSINESS ASSOCIATION OF EXPERT APPRAISAL AND JUDICIAL VALUATIONS is a private entity that includes active professionals from the investment, valuation, appraisal, and expert appraisal sectors of both real and personal property, graphology, jewelry, works of art, furniture, belongings, fires, accidents, antiques, mobile parks, machinery, etc., and updates technical knowledge for the study of the values of houses, homes, land, premises, offices, businesses, industrial warehouses, parking lots, rural properties, forests, documents, content calculations, and techniques for recognizing jewelry, belongings, and artistic objects, etc. for their expert appraisal.” (Folio 22).</w:t>
      </w:r>
    </w:p>
    <w:p>
      <w:r>
        <w:t>(14) Its governing bodies are the General Assembly and the Board of Directors (folios 265 to 273).</w:t>
      </w:r>
    </w:p>
    <w:p>
      <w:r>
        <w:t>(15) The supreme body of the Association is the General Assembly, which can meet in ordinary or extraordinary session. The General Assembly must be convened in ordinary session once a year, to approve the general action plan, censure the management of the Board of Directors, approve, if applicable, the annual budgets of income and expenses, as well as the financial statements corresponding to the previous year. The Assembly will meet in extraordinary session to adopt agreements regarding the disposition or transfer of assets, appointments of Boards of Directors, the establishment of federations of any kind or integration into them, merging with other similar associations, amendments to the Statutes, and dissolution of the Association (folios 265 to 273). The agreements of the General Assemblies will be adopted by a majority of votes, while those of the Extraordinary General Assemblies will be made by two-thirds of the members present or represented when addressing the aforementioned matters.</w:t>
      </w:r>
    </w:p>
    <w:p>
      <w:r>
        <w:t>(16) The Board of Directors will be composed of a president, a secretary, and a treasurer, whose scope of action and representation will be state-level. It is the function of the Board of Directors to program and direct social activities and manage the administrative and economic affairs of the Association, submit the annual budget of income and expenses for approval by the General Assembly, as well as the financial statements of the previous year. The members of the Board of Directors will preside over the working committees that the Board itself agrees to establish.</w:t>
      </w:r>
    </w:p>
    <w:p>
      <w:r>
        <w:t>(17) The AEPVJ, in accordance with its purpose of updating knowledge, organizes distance training courses and seminars in its various specialties, as indicated on its website (Folios 37 to 139).</w:t>
      </w:r>
    </w:p>
    <w:p>
      <w:r>
        <w:t>4. PROFESSIONAL APPRAISAL SERVICES</w:t>
        <w:br/>
        <w:t>(18) An expert can be defined as a person particularly qualified by virtue of their specialized knowledge in any science, art, technique, or practice.</w:t>
      </w:r>
    </w:p>
    <w:p>
      <w:r>
        <w:t>(19) As an expert in a subject, in principle, their professional activity would be carried out through the issuance of expert reports and/or appraisals in which they apply their knowledge to a factual situation that needs to be valued. Such valuation or report could be formulated at the request of any company, entity, individual, judicial body, etc. Therefore, professional appraisal services can be provided in judicial or private processes.</w:t>
      </w:r>
    </w:p>
    <w:p>
      <w:r>
        <w:t>(20) Regarding the different judicial processes, the fundamental regulation of the figure of the expert and of judicial expertise can be found in Articles 335 to 352, 265, and 299 of Law 1/2000, of January 7, on Civil Procedure (hereinafter, LEC), in Articles 456 to 485 of the Criminal Procedure Law, approved by Royal Decree of September 14, 1882 (hereinafter, LECrim.), in the Nineteenth Base of Law 7/1989, of April 12, on the Bases of Labor Procedure (hereinafter, LBPL), and in Articles 78, 82, 87 to 90, and 93 of Law 36/2011 of October 10 regulating Social Jurisdiction (hereinafter, LRJS), and in Articles 60 and 61 of Law 29/1998 of July 13, on Contentious-Administrative Jurisdiction.</w:t>
      </w:r>
    </w:p>
    <w:p>
      <w:r>
        <w:t>(21) Aside from the specialties of each of the regulations indicated according to the jurisdictional order, the supplementary regulation of the expert and judicial expertise to which the other norms of the remaining processes refer is contained in the LEC, so the essential aspects of it are highlighted below, subsequently indicating the specialties of criminal and labor processes.</w:t>
      </w:r>
    </w:p>
    <w:p>
      <w:r>
        <w:t>(22) The regulation of the civil process establishes that experts may have an official title corresponding to the subject matter of the report and its nature, or they will have special knowledge or practice in some science or art. All of them must take an oath or promise to tell the truth and act with the utmost objectivity possible (Articles 335.2 and 340.1 LEC).</w:t>
      </w:r>
    </w:p>
    <w:p>
      <w:r>
        <w:t>(23) It is necessary to point out that the LEC establishes the possibility of requesting expert opinions from Academies and cultural and scientific institutions and from legal entities legally authorized, which must designate as soon as possible the person or persons who will be responsible for...</w:t>
      </w:r>
    </w:p>
    <w:p>
      <w:r>
        <w:rPr>
          <w:b/>
        </w:rPr>
        <w:t>[Pages 7–9]</w:t>
      </w:r>
    </w:p>
    <w:p>
      <w:r>
        <w:t>preparing the report (Article 340.2 and 3 LEC).</w:t>
      </w:r>
    </w:p>
    <w:p>
      <w:r>
        <w:t>(24) The definition of the report, which constitutes a means of evidence, is found in Article 335.1 of the LEC, which states: "When scientific, artistic, technical, or practical knowledge is necessary to assess relevant facts or circumstances in the matter or to acquire certainty about them, the parties may submit to the process the report of experts who possess the corresponding knowledge or request, in the cases provided for in this law, that a report be issued by an expert appointed by the court."</w:t>
      </w:r>
    </w:p>
    <w:p>
      <w:r>
        <w:t>(25) Consequently, in civil proceedings, it is normal for the expert report to be submitted by the party, but judicial appointment of the expert is also possible when the parties request it from the judge or court, and the latter, considering the report pertinent and useful, proceeds to appoint one, or if the requirements for obtaining the benefits of free legal assistance are met, appoints one in accordance with the regulatory norms for these cases. (See in this regard Law 1/1996, of January 10, on Regulating Free Legal Assistance, in particular, Article 6.6 and Articles 55 to 57 of the Regulations on Free Legal Assistance of Andalusia, approved by Decree 216/1999, of October 26.)</w:t>
      </w:r>
    </w:p>
    <w:p>
      <w:r>
        <w:t>(26) The expert appointed by the court shall accept the position within two days, proceeding with their appointment, and shall take the oath or promise referred to earlier, and may be challenged. They may only refuse if there is just cause preventing them from accepting the position and the court secretary considers it sufficient (Articles 124 to 128 and 342 and 343 LEC).</w:t>
      </w:r>
    </w:p>
    <w:p>
      <w:r>
        <w:t>(27) In criminal proceedings, the parties may submit expert reports to support their claims, but the Judge may also order the expert report when "to know or assess any important fact or circumstance in the summary, scientific or artistic knowledge is necessary or convenient," with preference in criminal matters given to experts with official titles over those without (Articles 456 to 458 and 478 LECrim).</w:t>
      </w:r>
    </w:p>
    <w:p>
      <w:r>
        <w:t>(28) In criminal proceedings, all expert recognitions shall generally be carried out by two experts, and no one may refuse to respond to the Judge's summons to perform an expert service, unless they are legitimately impeded, otherwise they may incur liability. In the event that the experts disagree and their number is even, another expert shall be appointed by the Judge (Articles 459, 462 to 463 and 484 LECrim).</w:t>
      </w:r>
    </w:p>
    <w:p>
      <w:r>
        <w:t>(29) Labor proceedings are characterized by the fact that expert reports from the parties will normally be submitted at the oral hearing, through the presentation and ratification of the expert report by the expert, being recorded in the minutes prepared by the court secretary summarizing the expert reports (Article 93.1 LRJS). Furthermore, according to the provisions of the LBPL, the random selection of experts shall not proceed.</w:t>
      </w:r>
    </w:p>
    <w:p>
      <w:r>
        <w:t>(30) Regarding the judicial appointment of an expert, this would be limited to the appointment by the judge, either ex officio or at the request of a party, of a forensic doctor of the required specialty in view of the recognitions and reports previously recorded in the proceedings and, where applicable, to the cases of free legal assistance (Article 93.2 LRJS).</w:t>
      </w:r>
    </w:p>
    <w:p>
      <w:r>
        <w:t>(31) Regarding the prices of judicial expert services, Article 465 of the LECrim states the following: "Those who provide reports as experts by virtue of a court order shall have the right to claim the fees and compensations that are fair, if they do not have, as such experts, a fixed remuneration paid by the State, the Province, or the Municipality."</w:t>
      </w:r>
    </w:p>
    <w:p>
      <w:r>
        <w:t>(32) On the other hand, it is necessary to refer to the price regulation established by the legislation on free legal assistance. Article 40 of Law 1/1996, of January 10, on Free Legal Assistance, establishes, in consideration of the types of proceedings in which the appointed professionals intervene ex officio, the economic bases and compensation modules for the provision of free legal assistance services. Subsequently, the Autonomous Communities with competence over free legal assistance establish the scales to compensate the professionals appointed ex officio (First Additional Provision of Law 1/1996, of January 10, on Free Legal Assistance).</w:t>
      </w:r>
    </w:p>
    <w:p>
      <w:r>
        <w:t>4.1 Demand for expert services</w:t>
      </w:r>
    </w:p>
    <w:p>
      <w:r>
        <w:t>(33) Regarding the demand for judicial and private expert services, the different object of the appraisal determines that in most cases each of the specialties in which the report is issued gives rise to the existence of a differentiated market. This is so because the appraisal carried out by a qualified expert in a specific subject would not be replaceable by that carried out by an expert who does not have the equivalent qualification or practice to issue a similar report.</w:t>
      </w:r>
    </w:p>
    <w:p>
      <w:r>
        <w:t>(34) In the judicial sphere, as already pointed out, the demand is fundamentally represented by the parties in the judicial process in question and by the judicial body itself, either ex officio or at the request of a party. Also, since judicial appraisals would not essentially differ from appraisals carried out in the strictly private sphere, the demand for the services of experts may also come from individuals.</w:t>
      </w:r>
    </w:p>
    <w:p>
      <w:r>
        <w:t>(35) The demand for services by judicial bodies. The judicial appointment of experts</w:t>
      </w:r>
    </w:p>
    <w:p>
      <w:r>
        <w:t>Regarding the judicial appointment of the expert, the common and supplementary legislation for all jurisdictional orders is contained in Article 341 of the LEC, developed by Instruction 5/2001, of December 19, of the General Council of the Judiciary, modified by the Agreement of the Plenary of the Council of October 28, 2010, on the annual submission to the jurisdictional bodies of lists of professionals for their appointment as experts.</w:t>
      </w:r>
    </w:p>
    <w:p>
      <w:r>
        <w:t>(36) According to this regulation, the expert shall be appointed from a list whose submission shall be requested every January of each year from the various Professional Associations, analogous entities, Academies, or cultural and scientific Institutions. These entities shall send the list, which will contain those members or associates willing to act as experts. When it is necessary to appoint a person without an official title, who is practical or knowledgeable in the subject, the list used will be that provided by "unions, associations, and appropriate entities." The first appointment from each list shall be made by drawing lots in the presence of the court secretary, and subsequent appointments shall be made in sequential order (Article 341 LEC).</w:t>
      </w:r>
    </w:p>
    <w:p>
      <w:r>
        <w:t>The demand for services by the parties in the process</w:t>
      </w:r>
    </w:p>
    <w:p>
      <w:r>
        <w:t>(37) There is also a demand for judicial expert services represented by the parties of an already initiated process or with a view to being initiated, who will request the services of appraisals to prove or substantiate the facts alleged in court or to assess the damages suffered.</w:t>
      </w:r>
    </w:p>
    <w:p>
      <w:r>
        <w:t>(38) Regarding the demand for private expert services, which would be those not intended to be part of a judicial process, this may be represented by any natural person, legal entity, company, entity, insurance company, etc., that requires a report from an expert on a specific reality for any purpose. In particular, appraisals requested by insurance companies in the event of vehicle accidents, valuation of companies that are to be dissolved, valuation of assets for inheritance distributions, etc., can be cited. The freedom of contracting of the parties governs in relation to this type of appraisal.</w:t>
      </w:r>
    </w:p>
    <w:p>
      <w:r>
        <w:t>4.2 Offer of judicial and private expert services</w:t>
      </w:r>
    </w:p>
    <w:p>
      <w:r>
        <w:t>(39) The offer of services provided by judicial experts appointed by the court will be represented by all the experts who are part of the lists that must be made available to the judges, and also by associations and companies of experts, especially those bidding and/or awarded contracts whose object is the provision of general judicial expert services in various specialties.</w:t>
      </w:r>
    </w:p>
    <w:p>
      <w:r>
        <w:rPr>
          <w:b/>
        </w:rPr>
        <w:t>[Pages 10–12]</w:t>
      </w:r>
    </w:p>
    <w:p>
      <w:r>
        <w:t>(40) In relation to party expert opinions, it can be inferred that in addition to the previous ones, the offer will be composed of large companies dedicated to providing appraisal and valuation services, smaller appraisal firms made up of experts in one or several specialties, and independent professionals who are experts and appraisers in specific subjects.</w:t>
      </w:r>
    </w:p>
    <w:p>
      <w:r>
        <w:t>ACCREDITED FACTS</w:t>
        <w:br/>
        <w:t>5.1 Preparation of the document “Recommended Fees for Appraisal and Valuation Reports”</w:t>
        <w:br/>
        <w:t>(41) According to the preamble of the document “Recommended Fees for Appraisal and Valuation Reports,” the indicative criteria for setting professional fees for expert activity “have been developed by a Commission appointed by the Board of Directors of the AEPVJ to provide guidance on the bases for considering the professional fees of expert activity and, in particular, of Criminology and Forensic Psychology” (Folio 2).</w:t>
      </w:r>
    </w:p>
    <w:p>
      <w:r>
        <w:t>(42) In the response of the AEPVJ to the information request dated September 28, 2012, it is indicated that said Commission, appointed by the Board of Directors, is composed of Mr. David Martínez Bautista, Mr. Luis Jiménez Romero, and Mr. Alberto Moya Urrea. The latter is also the secretary of the Association (folio 261).</w:t>
      </w:r>
    </w:p>
    <w:p>
      <w:r>
        <w:t>5.2 Content of the document</w:t>
        <w:br/>
        <w:t>(43) The document “Recommended Fees for Appraisal and Valuation Reports” from the AEPVJ contains the indicative criteria for setting professional fees for expert activity and is structured into several sections: preamble, general provisions, and the criteria and fees for each of the appraisals (folios 2 to 6).</w:t>
      </w:r>
    </w:p>
    <w:p>
      <w:r>
        <w:t>(44) In the preamble, it is noted that the expert, weighing the circumstances concurrent in each case, is free to agree on the amount of the fees with the party commissioning the appraisal. It also regulates the prohibition of charging fees based on a percentage of the outcome of a litigation. Furthermore, it specifies that the criteria contained in the document serve as a reference for calculating the fees accrued by the expert activity and are especially used in the following cases:</w:t>
        <w:br/>
        <w:t>1. “When there is no agreement or written budget regarding the quantification of the fees.</w:t>
        <w:br/>
        <w:t>2. When the bill claimed by the expert has been challenged before any judicial body, Professional Association, or the society itself.</w:t>
        <w:br/>
        <w:t>3. When in accordance with the current regulations on free legal assistance, or in the case of an expert opinion requested ex officio, the expert is entitled to the economic reimbursement of their fees.”</w:t>
      </w:r>
    </w:p>
    <w:p>
      <w:r>
        <w:t>(45) The general provisions are composed of several subsections. Firstly, the criteria for determining fees are outlined, taking into account “the volume and complexity of the examined background, the time invested, and the economic responsibility in litigation of the matter subject to expert opinion, if it can be valued in monetary terms, especially in those expert reports considered exceptional due to their volume, complexity, or involvement of other experts, with attendance at trial.”</w:t>
      </w:r>
    </w:p>
    <w:p>
      <w:r>
        <w:t>(46) Additionally, the remuneration for work time is regulated. This procedure will be used when billing according to the recommendations is not appropriate or has been agreed upon with the party commissioning the appraisal. In any case, it will be used for consultations and meetings with other experts of the same or different profession, provided that the professional office of the expert is used. If held outside the office, the corresponding expenses for travel, accommodation, meals, etc., will be charged.</w:t>
      </w:r>
    </w:p>
    <w:p>
      <w:r>
        <w:t>(47) According to the document, in the remuneration for work time “The minimum time unit will be taken as 30 minutes (recommended value 125 euros). For each hour of work, taking into account the complexity of the matter, the fees will be prudently graduated, with a recommended value of 250 euros.”</w:t>
      </w:r>
    </w:p>
    <w:p>
      <w:r>
        <w:t>(48) Likewise, within the general provisions, its update is anticipated: “In order to neutralize the alterations in value that may occur in the specified amounts, these will be updated annually by applying the corrective coefficient of the consumer price index.”</w:t>
      </w:r>
    </w:p>
    <w:p>
      <w:r>
        <w:t>(49) Finally, it is noted that “the Board of Directors will rule in accordance with the criteria set forth here on the invoices that are submitted to its consideration judicially or extrajudicially. It is the responsibility of the Board of Directors or the Commission created for this purpose to resolve any doubts that may arise regarding the application and interpretation of these criteria.</w:t>
      </w:r>
    </w:p>
    <w:p>
      <w:r>
        <w:t>(50) Professional fees are set taking into account the following appraisals: handwriting, graphology, and document examination, private investigation, expert appraiser of artistic painting, expert in patents and trademarks, expert in paleontology (fossils), expert in archaeology, expert knowledgeable in art-painting, gemology and jewelry, expert in traffic accidents, losses and fires, legal psychology, ballistics and weaponry, forensics, antiques-movable goods and contents, workplace accidents, disasters and major risks, forgery of works of art, intellectual piracy, and real estate valuations.</w:t>
      </w:r>
    </w:p>
    <w:p>
      <w:r>
        <w:t>(51) The recommended fees for the different works for each group of expertise are as follows:</w:t>
        <w:br/>
        <w:t>PROFESSIONAL FEES FOR HANDWRITING, GRAPHOLOGY, AND DOCUMENT EXAMINATION EXPERT ACTIVITY</w:t>
        <w:br/>
        <w:t>CRITERIA FEES</w:t>
        <w:br/>
        <w:t>1 Preliminary examination/advisory, without pre-report From […] euros</w:t>
        <w:br/>
        <w:t>2 Preliminary examination/advisory, with pre-report From […] euros</w:t>
        <w:br/>
        <w:t>3 Expert report or opinion without attendance at trial</w:t>
        <w:br/>
        <w:t>a) Signature comparison From […] euros + from</w:t>
        <w:br/>
        <w:t>[…] euros for each</w:t>
        <w:br/>
        <w:t>signature</w:t>
        <w:br/>
        <w:t>b) Holographic will protocol From […] euros</w:t>
        <w:br/>
        <w:t>c) Verification of authorship of manuscript From […] euros</w:t>
        <w:br/>
        <w:t>d) Document examination expert From […] euros</w:t>
        <w:br/>
        <w:t>e) Graphopsychological study</w:t>
        <w:br/>
        <w:t>With non-expert report (private character) From […] euros</w:t>
        <w:br/>
        <w:t>With expert report From […] euros</w:t>
        <w:br/>
        <w:t>f) Neuropsychological evaluation through handwritten graphics From […] euros</w:t>
        <w:br/>
        <w:t>g) Others From […] euros</w:t>
        <w:br/>
        <w:t>4 Attendance at trial […] per session</w:t>
        <w:br/>
        <w:t>5 Advisory to lawyers From […] euros</w:t>
      </w:r>
    </w:p>
    <w:p>
      <w:r>
        <w:t>PROFESSIONAL FEES FOR PRIVATE INVESTIGATION EXPERT ACTIVITY</w:t>
        <w:br/>
        <w:t>CRITERIA FEES</w:t>
        <w:br/>
        <w:t>1 Surveillance, follow-ups, complementary investigations</w:t>
        <w:br/>
        <w:t>or of another type</w:t>
        <w:br/>
        <w:t>a) From 1 to 5 hours per person per day Up to […] euros</w:t>
        <w:br/>
        <w:t>b) For each additional hour and person From […] euros</w:t>
        <w:br/>
        <w:t>2 Report From […] euros</w:t>
        <w:br/>
        <w:t>3 Expert report and ratification From […] euros</w:t>
        <w:br/>
        <w:t>4 Attendance at trial […] € per session</w:t>
      </w:r>
    </w:p>
    <w:p>
      <w:r>
        <w:t>ARTISTIC PAINTING APPRAISER</w:t>
        <w:br/>
        <w:t>Minimum price per report […]€</w:t>
        <w:br/>
        <w:t>From […] to […] € […] €</w:t>
        <w:br/>
        <w:t>Segments of […] € […] €</w:t>
        <w:br/>
        <w:t>Price for multiple reports in the same location segments of five pieces</w:t>
      </w:r>
    </w:p>
    <w:p>
      <w:r>
        <w:rPr>
          <w:b/>
        </w:rPr>
        <w:t>[Pages 13–15]</w:t>
      </w:r>
    </w:p>
    <w:p>
      <w:r>
        <w:t xml:space="preserve">Minimum price […] €  </w:t>
        <w:br/>
        <w:t xml:space="preserve">Maximum value per report […] €  </w:t>
        <w:br/>
        <w:t xml:space="preserve">Segments of […] € […] €  </w:t>
        <w:br/>
        <w:t xml:space="preserve">Trial assistance […] € per session  </w:t>
        <w:br/>
        <w:t xml:space="preserve">EXPERT IN PATENTS AND TRADEMARKS  </w:t>
        <w:br/>
        <w:t xml:space="preserve">Minimum price regardless of the outcome […] €  </w:t>
        <w:br/>
        <w:t xml:space="preserve">From that point, 10% of the value of the material  </w:t>
        <w:br/>
        <w:t xml:space="preserve">Trial assistance […] € per session  </w:t>
        <w:br/>
        <w:t xml:space="preserve">EXPERT IN PALEONTOLOGY (FOSSILS)  </w:t>
        <w:br/>
        <w:t xml:space="preserve">Minimum price per report […] €  </w:t>
        <w:br/>
        <w:t xml:space="preserve">From […] € […] €  </w:t>
        <w:br/>
        <w:t xml:space="preserve">Segments of […] € […] €  </w:t>
        <w:br/>
        <w:t xml:space="preserve">Price for multiple reports in the same location for segments of five pieces  </w:t>
        <w:br/>
        <w:t xml:space="preserve">Minimum price […] €  </w:t>
        <w:br/>
        <w:t xml:space="preserve">Maximum value per report […] €  </w:t>
        <w:br/>
        <w:t xml:space="preserve">Segments of […] € […] €  </w:t>
        <w:br/>
        <w:t xml:space="preserve">Site visits and excavation […] €  </w:t>
        <w:br/>
        <w:t xml:space="preserve">Laboratory expenses not included * (depending on location)  </w:t>
        <w:br/>
        <w:t xml:space="preserve">Trial assistance […] € per session  </w:t>
        <w:br/>
        <w:t xml:space="preserve">EXPERT IN ARCHAEOLOGY  </w:t>
        <w:br/>
        <w:t xml:space="preserve">Minimum price per report […] €  </w:t>
        <w:br/>
        <w:t xml:space="preserve">From […] € […] €  </w:t>
        <w:br/>
        <w:t xml:space="preserve">Segments of […] € […] €  </w:t>
        <w:br/>
        <w:t xml:space="preserve">Price for multiple reports in the same location for segments of five pieces  </w:t>
        <w:br/>
        <w:t xml:space="preserve">Minimum price […] €  </w:t>
        <w:br/>
        <w:t xml:space="preserve">Maximum value per report […] €  </w:t>
        <w:br/>
        <w:t xml:space="preserve">Segments of […] € […] €  </w:t>
        <w:br/>
        <w:t xml:space="preserve">Site visits and excavation […] €*  </w:t>
        <w:br/>
        <w:t xml:space="preserve">Laboratory expenses not included * (depending on location)  </w:t>
        <w:br/>
        <w:t xml:space="preserve">Trial assistance […] € per session  </w:t>
        <w:br/>
        <w:t xml:space="preserve">ART-PAINTING EXPERT  </w:t>
        <w:br/>
        <w:t xml:space="preserve">Artwork study: […] €  </w:t>
        <w:br/>
        <w:t xml:space="preserve">Comparative prices: […] €/h  </w:t>
        <w:br/>
        <w:t xml:space="preserve">Cataloging and study of artwork: (includes laboratory – graphological expertise) […] €  </w:t>
        <w:br/>
        <w:t>Trial assistance […] € per session.</w:t>
      </w:r>
    </w:p>
    <w:p>
      <w:r>
        <w:t xml:space="preserve">Gemology and Jewelry  </w:t>
        <w:br/>
        <w:t xml:space="preserve">Minimum price per report […] €  </w:t>
        <w:br/>
        <w:t xml:space="preserve">From […] % of the value of the appraised item  </w:t>
        <w:br/>
        <w:t xml:space="preserve">Trial assistance, per day per expert […] €  </w:t>
        <w:br/>
        <w:t xml:space="preserve">Trial assistance […] € per session  </w:t>
        <w:br/>
        <w:t xml:space="preserve">Graphological Expertise  </w:t>
        <w:br/>
        <w:t xml:space="preserve">Minimum report price corresponds to the appraisal of a […] €  </w:t>
        <w:br/>
        <w:t xml:space="preserve">signature or written page  </w:t>
        <w:br/>
        <w:t xml:space="preserve">Report for two signatures or two pages […] €  </w:t>
        <w:br/>
        <w:t xml:space="preserve">Report for three signatures […] €  </w:t>
        <w:br/>
        <w:t xml:space="preserve">for more signatures price to be agreed  </w:t>
        <w:br/>
        <w:t xml:space="preserve">Trial assistance […] € per session  </w:t>
        <w:br/>
        <w:t xml:space="preserve">Advisory for lawyers From […] €  </w:t>
        <w:br/>
        <w:t xml:space="preserve">Traffic Accidents  </w:t>
        <w:br/>
        <w:t xml:space="preserve">Minimum price without victims […] €  </w:t>
        <w:br/>
        <w:t xml:space="preserve">Minimum price with victims […] €  </w:t>
        <w:br/>
        <w:t xml:space="preserve">Trial assistance per day and expert […] €  </w:t>
        <w:br/>
        <w:t xml:space="preserve">Trial assistance […] € per session  </w:t>
        <w:br/>
        <w:t xml:space="preserve">Losses and Fires  </w:t>
        <w:br/>
        <w:t xml:space="preserve">Minimum price regardless of the outcome […] €  </w:t>
        <w:br/>
        <w:t xml:space="preserve">[5-15]% of the amount that the insurance company saves from paying  </w:t>
        <w:br/>
        <w:t xml:space="preserve">Trial assistance […] € per session  </w:t>
        <w:br/>
        <w:t xml:space="preserve">Legal Psychology  </w:t>
        <w:br/>
        <w:t xml:space="preserve">Reports on accountability […] €  </w:t>
        <w:br/>
        <w:t xml:space="preserve">Reports on credibility of testimony […] €  </w:t>
        <w:br/>
        <w:t xml:space="preserve">Reports on psychological sequelae or psychological injuries […] €  </w:t>
        <w:br/>
        <w:t xml:space="preserve">Reports on child custody […] €  </w:t>
        <w:br/>
        <w:t xml:space="preserve">Trial assistance per day and expert […] €  </w:t>
        <w:br/>
        <w:t xml:space="preserve">Trial assistance […] € per session  </w:t>
        <w:br/>
        <w:t xml:space="preserve">Ballistics and Weaponry  </w:t>
        <w:br/>
        <w:t xml:space="preserve">Ballistics reports […] €  </w:t>
        <w:br/>
        <w:t xml:space="preserve">Fingerprint reports (comparison of a print) […] €  </w:t>
        <w:br/>
        <w:t xml:space="preserve">For more prints consult  </w:t>
        <w:br/>
        <w:t xml:space="preserve">Reports of ocular inspections […] €  </w:t>
        <w:br/>
        <w:t xml:space="preserve">Trial assistance […] € per session  </w:t>
        <w:br/>
        <w:t xml:space="preserve">Advisory for lawyers From […] €  </w:t>
        <w:br/>
        <w:t xml:space="preserve">Forensic Science  </w:t>
        <w:br/>
        <w:t xml:space="preserve">Ballistics reports […] €  </w:t>
        <w:br/>
        <w:t xml:space="preserve">Fingerprint reports (comparison of a print) […] €  </w:t>
        <w:br/>
        <w:t xml:space="preserve">For more prints consult  </w:t>
        <w:br/>
        <w:t xml:space="preserve">Reports of ocular inspections […] €  </w:t>
        <w:br/>
        <w:t xml:space="preserve">Trial assistance […] € per session  </w:t>
        <w:br/>
        <w:t xml:space="preserve">Advisory for lawyers From […] €  </w:t>
        <w:br/>
        <w:t xml:space="preserve">Antiques – Movable Goods and Contents  </w:t>
        <w:br/>
        <w:t xml:space="preserve">Minimum price per report […] €  </w:t>
        <w:br/>
        <w:t xml:space="preserve">From […] € […] €  </w:t>
        <w:br/>
        <w:t xml:space="preserve">Segments of […] € […] €  </w:t>
        <w:br/>
        <w:t xml:space="preserve">Price for multiple reports in the same location for segments of five pieces  </w:t>
        <w:br/>
        <w:t xml:space="preserve">Minimum price […] €  </w:t>
        <w:br/>
        <w:t xml:space="preserve">Maximum value per report […] €  </w:t>
        <w:br/>
        <w:t xml:space="preserve">Segments of […] € […] €  </w:t>
        <w:br/>
        <w:t xml:space="preserve">Trial assistance […] € per session  </w:t>
        <w:br/>
        <w:t xml:space="preserve">Work Accidents  </w:t>
        <w:br/>
        <w:t xml:space="preserve">Minimum price per report […] €  </w:t>
        <w:br/>
        <w:t xml:space="preserve">[0-10]% For disability according to the compensations at stake  </w:t>
        <w:br/>
        <w:t xml:space="preserve">[0-10]% For death according to the compensations at stake  </w:t>
        <w:br/>
        <w:t xml:space="preserve">Trial assistance […] € per session  </w:t>
        <w:br/>
        <w:t xml:space="preserve">Document Examination  </w:t>
        <w:br/>
        <w:t xml:space="preserve">Minimum price per report […] €  </w:t>
        <w:br/>
        <w:t xml:space="preserve">Trial assistance […] € per session  </w:t>
        <w:br/>
        <w:t xml:space="preserve">Disasters and Major Risks  </w:t>
        <w:br/>
        <w:t xml:space="preserve">Minimum price regardless of the outcome […] €  </w:t>
        <w:br/>
        <w:t xml:space="preserve">[5-15]% of the amount that the insurance company saves from paying  </w:t>
        <w:br/>
        <w:t xml:space="preserve">Trial assistance […] € per session  </w:t>
        <w:br/>
        <w:t xml:space="preserve">Forgery of Works of Art  </w:t>
        <w:br/>
        <w:t xml:space="preserve">Minimum price per report […] €  </w:t>
        <w:br/>
        <w:t xml:space="preserve">From […] € […] €  </w:t>
        <w:br/>
        <w:t xml:space="preserve">Segments of […] € […] €  </w:t>
        <w:br/>
        <w:t xml:space="preserve">Price for multiple reports in the same location for segments of five pieces  </w:t>
        <w:br/>
        <w:t xml:space="preserve">Minimum price […] €  </w:t>
        <w:br/>
        <w:t xml:space="preserve">Maximum value per report […] €  </w:t>
        <w:br/>
        <w:t xml:space="preserve">Segments of […] € […] €  </w:t>
        <w:br/>
        <w:t xml:space="preserve">Trial assistance […] € per session  </w:t>
        <w:br/>
        <w:t xml:space="preserve">Intellectual Piracy  </w:t>
        <w:br/>
        <w:t xml:space="preserve">Minimum price regardless of the outcome […] €  </w:t>
        <w:br/>
        <w:t xml:space="preserve">From that point, 10% of the value of the material  </w:t>
        <w:br/>
        <w:t>Trial assistance […] € per session</w:t>
      </w:r>
    </w:p>
    <w:p>
      <w:r>
        <w:rPr>
          <w:b/>
        </w:rPr>
        <w:t>[Pages 16–18]</w:t>
      </w:r>
    </w:p>
    <w:p>
      <w:r>
        <w:t xml:space="preserve">Valuations of Real Estate  </w:t>
        <w:br/>
        <w:t xml:space="preserve">Individual Housing  </w:t>
        <w:br/>
        <w:t xml:space="preserve">Up to €120,200 […] €  </w:t>
        <w:br/>
        <w:t xml:space="preserve">Every additional €6,000 or fraction up to a maximum of […] €  </w:t>
        <w:br/>
        <w:t xml:space="preserve">€600,000  </w:t>
        <w:br/>
        <w:t xml:space="preserve">More than €600,000 and up to €30,000,000 […] €  </w:t>
        <w:br/>
        <w:t xml:space="preserve">Assistance at trial […] € per session  </w:t>
        <w:br/>
        <w:t xml:space="preserve">Commercial premises, offices, and industrial warehouses  </w:t>
        <w:br/>
        <w:t xml:space="preserve">Up to €90,150 […] €  </w:t>
        <w:br/>
        <w:t xml:space="preserve">Every additional €6,000 or fraction […] €  </w:t>
        <w:br/>
        <w:t xml:space="preserve">More than €600,000 and up to €3,000,000 […] €  </w:t>
        <w:br/>
        <w:t xml:space="preserve">More than €3,000,000 […] €  </w:t>
        <w:br/>
        <w:t xml:space="preserve">Buildings in general, residential and commercial  </w:t>
        <w:br/>
        <w:t xml:space="preserve">Up to €120,200 […] €  </w:t>
        <w:br/>
        <w:t xml:space="preserve">Every additional €6,000 or fraction […] €  </w:t>
        <w:br/>
        <w:t xml:space="preserve">More than €600,000 and up to €3,000,000 […] €  </w:t>
        <w:br/>
        <w:t xml:space="preserve">More than €3,000,000 […] €  </w:t>
        <w:br/>
        <w:t xml:space="preserve">Rural properties, agricultural and livestock  </w:t>
        <w:br/>
        <w:t xml:space="preserve">Up to €120,200 […] €  </w:t>
        <w:br/>
        <w:t xml:space="preserve">Every additional €6,000 or fraction […] €  </w:t>
        <w:br/>
        <w:t xml:space="preserve">More than €600,000 and up to €3,000,000 […] €  </w:t>
        <w:br/>
        <w:t xml:space="preserve">Work certifications  </w:t>
        <w:br/>
        <w:t xml:space="preserve">0.08% with a minimum of […] €  </w:t>
        <w:br/>
        <w:t xml:space="preserve">Land  </w:t>
        <w:br/>
        <w:t xml:space="preserve">For single-family housing in urbanization […] €  </w:t>
        <w:br/>
        <w:t xml:space="preserve">In other cases and up to €300,500 […] €  </w:t>
        <w:br/>
        <w:t xml:space="preserve">The excess up to €600,000 […] %  </w:t>
        <w:br/>
        <w:t xml:space="preserve">The excess of €600,000 up to €1,500,000 […] %  </w:t>
        <w:br/>
        <w:t xml:space="preserve">The excess of €1,500,000 up to €3,000,000 […] %  </w:t>
        <w:br/>
        <w:t xml:space="preserve">The excess of €3,000,000 up to €6,000,000 […] %  </w:t>
        <w:br/>
        <w:t xml:space="preserve">The excess of €6,000,000 […] %  </w:t>
        <w:br/>
        <w:t xml:space="preserve">If it is outside the provincial capital or an important population center where there is no appraiser, it may be possible, by prior agreement with the client, to increase by €40 to €45 (or […] €/Km).  </w:t>
        <w:br/>
        <w:t xml:space="preserve">Recommended valuation fee for judicial proceedings.  </w:t>
        <w:br/>
        <w:t xml:space="preserve">Formulation: Minimum fees = […] € or coefficient x value.  </w:t>
        <w:br/>
        <w:t xml:space="preserve">Value of each property Coef. Coef. applicable in Variable Rate  </w:t>
        <w:br/>
        <w:t xml:space="preserve">valued applicable %  </w:t>
        <w:br/>
        <w:t xml:space="preserve">€60,000 […] […] […] €  </w:t>
        <w:br/>
        <w:t xml:space="preserve">€90,000 […] […] […] €  </w:t>
        <w:br/>
        <w:t xml:space="preserve">€120,000 […] […] […] €  </w:t>
        <w:br/>
        <w:t xml:space="preserve">€140,000 […] […] […] €  </w:t>
        <w:br/>
        <w:t>€180,000 […] […] […] €</w:t>
      </w:r>
    </w:p>
    <w:p>
      <w:r>
        <w:t xml:space="preserve">€300,000 […] […] […] €  </w:t>
        <w:br/>
        <w:t xml:space="preserve">€360,000 […] […] […] €  </w:t>
        <w:br/>
        <w:t xml:space="preserve">€420,000 […] […] […] €  </w:t>
        <w:br/>
        <w:t xml:space="preserve">€480,000 […] […] […] €  </w:t>
        <w:br/>
        <w:t xml:space="preserve">€540,000 […] […] […] €  </w:t>
        <w:br/>
        <w:t xml:space="preserve">€600,000 […] […] […] €  </w:t>
        <w:br/>
        <w:t xml:space="preserve">€1,200,000 […] […] […] €  </w:t>
        <w:br/>
        <w:t xml:space="preserve">€1,800,000 […] […] […] €  </w:t>
        <w:br/>
        <w:t xml:space="preserve">€2,400,000 […] […] […] €  </w:t>
        <w:br/>
        <w:t xml:space="preserve">€3,000,000 […] […] […] €  </w:t>
        <w:br/>
        <w:t xml:space="preserve">5.3 Dissemination of the recommendation on indicative fees contained  </w:t>
        <w:br/>
        <w:t xml:space="preserve">in the report  </w:t>
        <w:br/>
        <w:t xml:space="preserve">(52) On February 10, 2012, the document with the "Recommended Fees for Appraisal and Valuation Reports" was published on the AEPVJ website. According to the AEPVJ, there was no agreement by the Association or its Board of Directors to publish the recommended fees on the Association's website. This was a decision made by the IT department around January 27, 2012.  </w:t>
        <w:br/>
        <w:t xml:space="preserve">(53) Furthermore, according to the AEPVJ, at no time has any type of judicial guide been issued or prepared for the knowledge of the different courts regarding the scales (folios 158-159).  </w:t>
        <w:br/>
        <w:t xml:space="preserve">(54) On March 29, 2012, the day after receiving notification of the initiation agreement, the AEPVJ claims to have removed from its website the report on "Recommended Fees for Appraisal and Valuation Reports" (folio 14).  </w:t>
        <w:br/>
        <w:t xml:space="preserve">(55) Likewise, the AEPVJ sent a letter to its members explaining that they are removing this document from their website following the initiation of a file by the National Competition Commission (folio 16).  </w:t>
        <w:br/>
        <w:t xml:space="preserve">5.4 Non-application of the recommended fees by the members  </w:t>
        <w:br/>
        <w:t>(56) According to the information obtained from the requests made to the sample of selected experts, none of them have applied the fees recommended by the AEPVJ. The responses from the experts can be summarized as follows: information was requested from fifteen experts, of which fourteen responded. Eleven experts report that they have not performed any work. Three experts provide one invoice each, with the fees accrued for their professional performance. None of these experts have applied the fees recommended by the AEPVJ in their invoices (folios 231 to 257).</w:t>
      </w:r>
    </w:p>
    <w:p>
      <w:r>
        <w:t xml:space="preserve">LEGAL BASIS  </w:t>
        <w:br/>
        <w:t xml:space="preserve">FIRST.- Object of Resolution. In accordance with Article 50.5 of the LDC, the DI submitted the following Proposal for Resolution to the Council: "That the conduct consisting of the definition within the Commission appointed by the General Assembly of the AEPVJ of indicative criteria for setting professional fees for expert activity as well as its dissemination through the document 'Recommended Fees for Appraisal and Valuation Reports,' published on the Association's website, in the months of February and March 2012, constitutes a price recommendation prohibited by Article 1.1 a) of the LDC." And "the AEPVJ is considered responsible for this conduct."  </w:t>
        <w:br/>
        <w:t xml:space="preserve">The DI also proposes that the "prohibited conduct be classified, for the purpose of the sanction to be imposed, as a serious infringement according to Article 62.3 a) of the LDC."  </w:t>
        <w:br/>
        <w:t xml:space="preserve">The DI bases this accusation of infringement of Article 1.1.a) of the LDC on the facts that demonstrate that the AEPVJ engaged in conduct consisting of establishing indicative criteria for setting professional fees for expert activity, as well as the dissemination of the same through the publication on its website of the document "Recommended Fees for Appraisal and Valuation Reports," since the establishment of such criteria constitutes a price recommendation by an association, which aims to guide the prices of professional services of experts towards levels that would not result from free competition among them.  </w:t>
        <w:br/>
        <w:t xml:space="preserve">The DI also notes that the publication of the "Recommended Fees for Appraisal and Valuation Reports" on the Association's website with the consequent general knowledge of these prices has an effect on the market that cannot be precisely determined, since it must be taken into account that the AEPVJ is one of the various associations of experts that exist.  </w:t>
        <w:br/>
        <w:t xml:space="preserve">Regarding the effects on the market, the DI highlights that the number of members is limited, that the consulted judicial experts declare that they did not apply the recommended fees, as well as that the fees were posted for a short period, which in the opinion of the DI does not negate that an infringement of Article 1 LDC has occurred, but it does consider them mitigating circumstances.  </w:t>
        <w:br/>
        <w:t xml:space="preserve">The Council, therefore, based on the information contained in the file and the facts that are established as proven therein, must resolve on the proposal of the DI.  </w:t>
        <w:br/>
        <w:t>In light of the proven facts, a matter that is peaceful, since they are recognized by the accused, the Council has considered that they were not properly qualified in the proposal of the DI, since the establishment and publication of the indicative criteria for setting professional fees for expert activity can in no case be classified as a serious infringement, as was stated in the proposal, but rather as a collective recommendation among...</w:t>
      </w:r>
    </w:p>
    <w:p>
      <w:r>
        <w:rPr>
          <w:b/>
        </w:rPr>
        <w:t>[Pages 19–21]</w:t>
      </w:r>
    </w:p>
    <w:p>
      <w:r>
        <w:t>competitors, objectively falls within the scope of Article 62.4 a) of the LDC, qualifying this infringement normatively as very serious.</w:t>
      </w:r>
    </w:p>
    <w:p>
      <w:r>
        <w:t>In application of the provisions of Article 51.4 of the LDC, the Council agreed to proceed with the reclassification of the conduct, submitting the new qualification to the allegations of the DI and the accused, giving them a deadline for allegations.</w:t>
      </w:r>
    </w:p>
    <w:p>
      <w:r>
        <w:t>Upon receiving the allegations as recorded in the Background Facts and the DI's agreement with the new qualification, the Council must now resolve whether the proven facts constitute an infringement of Article 1.1 of Law 15/2007, of July 3, on the Defense of Competition, classified as a very serious infringement in accordance with Article 62.4.a) of the aforementioned Law, and whether the AEPVJ is legally responsible for the infringement.</w:t>
      </w:r>
    </w:p>
    <w:p>
      <w:r>
        <w:t>SECOND.- Allegations of the AEPVJ to the PR and the Reclassification Agreement. The AEPVJ does not dispute the Proven Facts, which it acknowledges, as shown by the immediate removal of the document from the website (folio 16); what it disagrees with is the assessment of these facts in the sense that they are capable of unifying the behavior and prices of judicial experts and considers that its function is to support the exercise of justice.</w:t>
      </w:r>
    </w:p>
    <w:p>
      <w:r>
        <w:t>Below are summarized the allegations made by the accused to the PR and the Reclassification Agreement, which are merely a reiteration of the allegations already made to the PCH, proceeding to respond to them in the Legal Basis for the qualification of the conduct by the Council and in relation to the determination of the sanction.</w:t>
      </w:r>
    </w:p>
    <w:p>
      <w:r>
        <w:t>The AEPVJ insists in its allegations that it is an association whose members are judicial experts who are appointed by the Courts to carry out expert reports on various subjects. It explains that it is important to highlight that these judicial experts present their fees for the services rendered to the Court that has assigned them, and that such fees can be challenged as excessive under Article 245 of the LEC. In this latter case, the Judicial Secretary must request an opinion from the Professional College, Association, or Corporation to which the expert belongs, and therefore the objective of the fees is to establish criteria for issuing reports required by the courts.</w:t>
      </w:r>
    </w:p>
    <w:p>
      <w:r>
        <w:t>The AEPVJ concedes that there may be confusion due to the designation of the criteria, which should have been “Criteria of the A.P.P.J. in the issuance of its reports on professional fees at judicial request,” and that as such they would be protected by analogy, by the Fourth Additional Provision of Law 2/1974, of February 13, on Professional Colleges, which establishes that Professional Colleges may develop indicative criteria for fees for the purpose of cost assessment and the swearing of accounts of lawyers, and by Article 246.2 of the LEC which states that “the provisions of the previous section shall also apply regarding the challenge of fees of experts, requesting in this case the opinion of the College, Association, or Professional Corporation to which they belong.”</w:t>
      </w:r>
    </w:p>
    <w:p>
      <w:r>
        <w:t>On the other hand, it explains that the aforementioned document was published on the website because it is the place accessible to all members. It also points out that the duration of the publication was minimal, since the document was removed the day after the notification of the agreement to initiate the present file.</w:t>
      </w:r>
    </w:p>
    <w:p>
      <w:r>
        <w:t>The AEPVJ also disagrees with the DI regarding the territorial scope and considers that 83 judicial experts in a more limited geographical area is not the same as throughout Spain, as is the case. It adds that for there to be an effective restriction on competition, it is necessary to have a follow-up of the members regarding the price recommendation in question. It argues that in this case it has been proven that the criteria for the fees of judicial experts approved by the AEPVJ have not been followed by the members, so there has been no effect on the market. In any case, it asserts that the aforementioned criteria for issuing reports on professional fees at judicial request do not constitute collusive conduct under Article 1 of the LDC, because it is simply the development of criteria, to which the AEPVJ is entitled, to prepare reports at the request of the Courts. Therefore, it argues that since there is no collusive conduct, the AEPVJ cannot be considered responsible for any violation.</w:t>
      </w:r>
    </w:p>
    <w:p>
      <w:r>
        <w:t>Consequently, the AEPVJ argues that it cannot be sanctioned, and if it were, it refers to the principle of proportionality in accordance with the provisions of Article 131 of Law 30/1992, so that the sanction is in accordance with the nature of the infringement, considering the circumstances of the case, and highlighting that there has been no harm to anyone, nor any effect on the market, and that the AEPVJ is a non-profit association.</w:t>
      </w:r>
    </w:p>
    <w:p>
      <w:r>
        <w:t>On the other hand, the AEPVJ considers that in the present case the requirements established in Article 65 of the LDC for exemption from the payment of the fine are met, and if not considered so, it argues that the requirements of Article 66 of the LDC are met, to reduce the sanction.</w:t>
      </w:r>
    </w:p>
    <w:p>
      <w:r>
        <w:t xml:space="preserve">Finally, it requests the following evidence to be taken, as well as the holding of a Hearing before the Council: </w:t>
        <w:br/>
        <w:t xml:space="preserve">- That statements be taken from Mr. XXX, Mr. XXX, and Mr. XXX, members of the A.P.P.J. Commission. </w:t>
        <w:br/>
        <w:t xml:space="preserve">- That the Dean Court of Madrid, the Dean Court of Barcelona, and the Dean Court of Valencia be requested to inform whether in the case of challenging the fees of a judicial expert, those Courts request an opinion on fees from the associations of judicial experts. </w:t>
        <w:br/>
        <w:t>- That the Ministry of Economy be requested to inform about which elements define market alteration.</w:t>
      </w:r>
    </w:p>
    <w:p>
      <w:r>
        <w:t>In relation to the practice of evidence, Article 51 of the LDC establishes that the Council may agree to them, either ex officio or at the request of the interested parties, when such evidence or actions are deemed necessary for the formation of judgment in the decision-making process.</w:t>
      </w:r>
    </w:p>
    <w:p>
      <w:r>
        <w:t>After analyzing the proposed evidence and based on the provisions of that article, the Council has considered that none of them is relevant for the purposes of forming judgment and that the non-performance of the same does not affect the right of defense of the accused. Indeed, regarding the statements of the members of the Commission, the Council does not doubt the allegations of the Association regarding the form and the body responsible for setting the criteria and fees, because what is judged in this file is not the internal approval procedure that has been carried out within the Association, but the act of establishing the fees and also publishing them on the web. The Council also does not doubt that the courts request opinions; the issue is the system of complying with that obligation. Finally, regarding the competent body to assess the elements that define market alteration, it should be noted that Law 15/2007, in Title II, Chapter I, “On the competent bodies for the application of the Law,” designates first, in its Article 12, this National Competition Commission, as the competent authority to preserve, guarantee, and promote effective competition in the markets.</w:t>
      </w:r>
    </w:p>
    <w:p>
      <w:r>
        <w:t>Regarding the requested Hearing, the AEPVJ does not justify its holding and the Council sees no reason to hold it.</w:t>
      </w:r>
    </w:p>
    <w:p>
      <w:r>
        <w:t>THIRD.- Qualification of the conduct. As stated in the FIRST LEGAL BASIS, the purpose of this Resolution is to analyze whether the agreement adopted within the AEPVJ regarding the indicative criteria for setting professional fees for expert activity as well as its dissemination through the document, “Recommended Fees for Appraisal and Valuation Reports,” published on the Association's website, constitutes a restrictive practice of competition.</w:t>
      </w:r>
    </w:p>
    <w:p>
      <w:r>
        <w:t>The AEPVJ alleged that the correct designation of the document published on its website should have been “Criteria of the AEPVJ in the issuance of reports on professional fees at judicial request” and, regarding its content, has maintained at all times that they are not minimum fees for its members, the judicial experts, but for the purpose of complying with the courts that request opinions on the fees. In its allegations of April 12, 2010, it provides for these purposes a document from the Court of CHANTADA dated May 21, 2008, in which it requests from the Association the criteria and scales for the appraisal of parking spaces, warehouses, and urban properties (folio 15).</w:t>
      </w:r>
    </w:p>
    <w:p>
      <w:r>
        <w:t>However, this consideration cannot be sustained. And it is that, considering the content of the document prepared and published by the Association under the name of “Recommended Fees for Appraisal and Valuation Reports,” it is evident that we are not dealing with the establishment of criteria on how to value the work performed based on the knowledge required, time spent, documentation needs, or other criteria of that nature, but rather we are faced with a list that establishes a series of generic types of services to which...</w:t>
      </w:r>
    </w:p>
    <w:p>
      <w:r>
        <w:rPr>
          <w:b/>
        </w:rPr>
        <w:t>[Pages 22–24]</w:t>
      </w:r>
    </w:p>
    <w:p>
      <w:r>
        <w:t>assigned a minimum price and a maximum price in some cases, a fixed price in others, and a minimum in the rest, or also a percentage of the value of the appraisal to be carried out, without any trace of criteria referring to the greater or lesser need for time to prepare the respective expert reports. The document does not contain uniform and detailed criteria for setting the fees, but rather contains the setting of the fees themselves, as the name of the document reflects, fees that have also been made public on an open website, a conduct that can only be classified as a collective recommendation in the sense of Article 1.1 of the LDC, which establishes the prohibition of "any agreement, decision, or collective recommendation or concerted or consciously parallel practice, which has as its object, produces, or may produce the effect of preventing, restricting, or distorting competition in all or part of the national market and, in particular, those that consist of: a) The direct or indirect fixing of prices or other commercial or service conditions."</w:t>
      </w:r>
    </w:p>
    <w:p>
      <w:r>
        <w:t>Indeed, as indicated by the DI, the "Recommended Fees for Appraisal and Valuation Reports" have the capacity to restrict competition in the appraisal market as they eliminate the uncertainty caused by competition in price setting for the provision of services among experts and have the ability to unify the behavior of the different agents involved in the appraisal, suppressing the autonomy of these professionals to set the prices they demand for their reports. This is compounded by the diffusion effect that the publication of these fees on the Association's website entails, with the consequent general knowledge of these prices, which favors the orientation of the prices of professional services of the experts towards levels that are not those that would result from free competition among them. Moreover, as can be inferred from the literal wording of the document titled "Recommended Fees for Appraisal and Valuation Reports" (see folios 2 to 6 of the file), the criteria established in the document have a general scope. Thus, in the preamble, it states that the criteria are to "guide on the bases that can be taken into consideration when setting the professional fees accrued by the expert activity of any kind," and in section 1, "Determination of Fees," the third paragraph states the following: "In those cases, judicial and non-judicial, where special circumstances require a greater or lesser number of actions than usual, the fees may be increased or reduced proportionally to the work actually performed."</w:t>
      </w:r>
    </w:p>
    <w:p>
      <w:r>
        <w:t>This Council therefore agrees with the assessment of the DI and considers that the preparation of the fee schedule and its publication on the website is a conduct that by its very nature has the object and capacity to affect the autonomy of economic operators when determining the price of their services and therefore to distort effective competition in the market.</w:t>
      </w:r>
    </w:p>
    <w:p>
      <w:r>
        <w:t>And all this regardless of whether, as claimed by the AEPVJ, the levels of fees contained in the document were prepared to be used in the reports that the Courts and Tribunals request from the AEPVJ for the assessment of costs in excessive fee proceedings. That is, this Council does not assess the competence of the AEPVJ to issue reports on whether the fees presented by the judicial experts it groups are excessive or not, in case they have been challenged, but rather what is questioned is the preparation and publication of certain scales or professional fees. The reports requested by the courts referred to by the AEPVJ can be carried out by the Association on a case-by-case basis, as seen in the request from the Chantada Court, and for this, it is not necessary to establish a fee schedule like the one at hand, much less its publication.</w:t>
      </w:r>
    </w:p>
    <w:p>
      <w:r>
        <w:t>And as the DI recalls in its Proposal for Resolution, according to the doctrine of this Council, to determine the existence of a collective price recommendation in the sense of Article 1 of the LDC, the following elements must be analyzed: who makes it, its content, and its dissemination (see, among others, the Resolution of October 3, 2012, file S/0371/11, Literary Authors Audiovisual Media, Resolution of October 14, 2009, S/053/08, FIAB and ASSOCIATES and CEOPAN, Resolution of September 28, 2009, S/0055/08 INPROVO, and Resolution of September 26, 2012, S/0335/11, CEOE).</w:t>
      </w:r>
    </w:p>
    <w:p>
      <w:r>
        <w:t>In this case, it is a Commission appointed by the Board of Directors of the AEPVJ that prepares the document "Recommended Fees for Appraisal and Valuation Reports," as indicated in the Accredited Facts [section 5.1, (41)] of this Resolution, and therefore its preparation is attributable to the AEPVJ. Regarding its content, it has also been established [Accredited Fact 5.2 (51)] that the aforementioned document contains a detailed description of all possible appraisals in the judicial field with the specification of certain prices (maximum and minimum) or fixed for each of them. Regarding the dissemination of the document with the fees, it is undisputed that it was published on the Association's website from February 10 to March 29, 2012, [Accredited Fact 5.3, (52) to (54)].</w:t>
      </w:r>
    </w:p>
    <w:p>
      <w:r>
        <w:t>Therefore, it can only be concluded that all conditions are met to determine that the preparation and dissemination by the AEPVJ of the "Recommended Fees for Appraisal and Valuation Reports" constitutes a price recommendation prohibited by Article 1 of the LDC, for which the association is responsible.</w:t>
      </w:r>
    </w:p>
    <w:p>
      <w:r>
        <w:t>Regarding the allegation of lack of capacity to affect competition, it should be noted that regardless of whether the document states that judicial experts are free to determine their fees, it is indisputable that published fees as described eliminate the uncertainty among professionals when determining their prices for the provision of services, a conduct prohibited by Article 1 of the LDC (Judgment of the National Court of June 29, 2011, case S/0053/08, FIAB and associates and CEOPAN). The conduct established and proven by the Association has the capacity to promote non-autonomous behavior among its members, and moreover, with its publication on the open web, and therefore accessible to all experts and not just those of the Association, it has the capacity to influence the behavior of any professional in the market who visited that website, thus distorting one of the most relevant factors of competition in that market (see, among others, Resolution of the CNC Council of May 27, 2009, Expte. S/0064/08, Equine Specialist Veterinarians, Resolution of the CNC Council of May 30, 2012, Expte. S/0273/10, National Association of Graphic Press Informers; Resolution of July 30, 2012, Expte. S/0339/11, Graphic Designers).</w:t>
      </w:r>
    </w:p>
    <w:p>
      <w:r>
        <w:t>The Council must recall that in the Guide for Business Associations published by the CNC in December 2009, prior to the conduct analyzed, it is emphasized that price recommendations, regardless of their mandatory nature of application by the members, provide behavioral guidance that is apt to eliminate or reduce the autonomy with which, in a competitive system, every economic operator must set its commercial policy; therefore, it is warned that associations of economic operators must refrain from this type of collective recommendations.</w:t>
      </w:r>
    </w:p>
    <w:p>
      <w:r>
        <w:t>FOURTH.- Effects of the conduct. The Council disagrees with the allegations of the party and the deduction made by the DI that the effects have been minimal (points 26 to 28 of the IP).</w:t>
      </w:r>
    </w:p>
    <w:p>
      <w:r>
        <w:t>Contrary to what the AEPVJ claims about the geographical incidence and the small number of members, the evidence is that the 83 members are distributed across different Autonomous Communities and that the Board of Directors of the association has a national scope of action and representation, as indicated in Article 12 of its Statutes. Furthermore, its publication on the website extends its incidence to the entire territory and to non-associated experts.</w:t>
      </w:r>
    </w:p>
    <w:p>
      <w:r>
        <w:t>And regarding the absence of effects argued by the DI, relying on the survey conducted during the investigation phase of the application of those fees by a number (15) of members, the Council cannot agree with the methodology used in calculating the effects for the following reasons: Firstly, the DI has taken a sample that, while it may be representative in size in relation to the number of members of the association, does not take into account that since it is published on the web, the incidence is on all experts whether or not they belong to the association, and therefore does not measure the incidence or effects on those professionals; and secondly, the Association is not charged with establishing a fixed price, but rather with recommending a certain level of fees to set the fees, and the possible divergence that may have occurred in certain cases from the listed fees attached to the fee schedule does not refute the existence of a standardizing effect of the published criteria.</w:t>
      </w:r>
    </w:p>
    <w:p>
      <w:r>
        <w:t>Finally, regarding the absence of effects due to the short period of time it was posted on the web, this Council must reiterate, as it has done in previous cases, that the duration of the publication does not affect the qualification of the conduct as an infringement of the LDC, since the damage to competition would already have been done, especially if it is understood that the effect does not automatically end with the removal of the fee schedules from its page, but rather for technical reasons, that document does not disappear from the network and remains accessible.</w:t>
      </w:r>
    </w:p>
    <w:p>
      <w:r>
        <w:rPr>
          <w:b/>
        </w:rPr>
        <w:t>[Pages 25–27]</w:t>
      </w:r>
    </w:p>
    <w:p>
      <w:r>
        <w:t>In any case, the lack of quantification of effects does not invalidate the infringement by object that a conduct such as that carried out by the Association implies, from which, due to its dissemination, pernicious effects can and must be presumed, not only on the behavior of its members but also on third-party competitors. It is established doctrine that Article 1 of the LDC does not require, to declare that an infringement has occurred, that a certain conduct has had effects, being sufficient that the conduct is restrictive of competition by its object or that it has the capacity to do so, and this capacity has already been demonstrated. And this is the case of the collective recommendation of an Association: "the infringement of art. 1.1. LDC exists from the moment a collective recommendation is made whose object has been proven to be anticompetitive. The actions of associations are formally objectionable, beyond their effects. As argued in the previous legal basis, the fact that the recommendation did not have an effect in the market is inconsequential, since such effect is not required by the type of infringement. There is an infringement of art. 1 LDC because the conduct carried out by the associations analyzed in this file is objectively capable of restricting competition due to the content of the press releases, their dissemination, and by whom they were made (RCNC S/0053/08 Fiab and Asociados and Ceopan, FD 7º)."</w:t>
      </w:r>
    </w:p>
    <w:p>
      <w:r>
        <w:t>For all the above, in the opinion of the Council, the conduct described above should be classified as a very serious infringement of Article 1 of the LDC consisting of a collective price recommendation by the AEPVJ.</w:t>
      </w:r>
    </w:p>
    <w:p>
      <w:r>
        <w:t>FIFTH.- On the responsibility and determination of the amount of the sanction. It has been proven and established in this file that the analyzed conduct, the establishment of indicative fees to set the professional fees for expert activity, as well as its dissemination through the publication on the Association's website of the document "Recommended Fees for Appraisal and Valuation Reports," constitutes a collective recommendation, a restrictive practice of competition prohibited by Article 1 of the LDC, for which the AEPVJ is responsible, whose Board of Directors appointed the Commission that developed the criteria and is also responsible for its dissemination.</w:t>
      </w:r>
    </w:p>
    <w:p>
      <w:r>
        <w:t>The identified conduct constitutes a very serious infringement classified in Article 62.4.a) of the LDC. Consequently, and in accordance with Article 63.1.c) of the LDC, very serious infringements may be sanctioned with a fine of up to 10% of the total turnover of the infringing company in the financial year immediately preceding the imposition of the fine, which, in this case, being an associative entity, will be determined taking into consideration the turnover of its members.</w:t>
      </w:r>
    </w:p>
    <w:p>
      <w:r>
        <w:t>When modulating the amount within that limit, Article 64 refers to the criteria of the size and characteristics of the affected market, the market share of the responsible company or companies, the scope and duration of the infringement, the effects on the legitimate rights of competitors and consumers and users, as well as the illicit benefits obtained as a result of the infringement and, where appropriate, the aggravating and mitigating circumstances that occur in relation to each of the companies.</w:t>
      </w:r>
    </w:p>
    <w:p>
      <w:r>
        <w:t>In the case at hand, the market affected by the infringement, defined in this file, is the provision of expert services. Regarding the criterion of the scope of the infringement, it will be necessary to take into account not only the associative representativeness of the accused in the affected market but also the detailed content of the fee document and the means by which it was made public, through the website, to the extent that the unifying guideline may be extensible to judicial experts, whether or not they are associated with the AEPVJ.</w:t>
      </w:r>
    </w:p>
    <w:p>
      <w:r>
        <w:t>In addition to the above criteria, the Council takes into account the doctrine of the Supreme Court, according to which, when setting the fine, it must be considered, "...as a guiding criterion for this type of assessment regarding the adequacy of the sanctions to the severity of the facts, that the commission of anticompetitive infringements should not be more beneficial for the infringer than compliance with the infringed rules."</w:t>
      </w:r>
    </w:p>
    <w:p>
      <w:r>
        <w:t>For its part, the DI, in its proposal to the Council, considers that the mitigating circumstance of Article 64.3 LDC applies regarding the performance of actions that put an end to the infringement, since the AEPVJ proceeded, at the moment it became aware that there were indications of an infringement of the LDC, to withdraw the recommended fee document from the website on March 29, following the first action of the CNC, as well as sending its members a letter explaining the reason for the withdrawal.</w:t>
      </w:r>
    </w:p>
    <w:p>
      <w:r>
        <w:t>To set the fine taking into account the previous legal and jurisprudential criteria, the Council requested the AEPVJ to ask its members to send the CNC their turnover in order to apply the "CNC Communication on the quantification of sanctions derived from infringements of Articles 1, 2, and 3 of Law 15/2007, of July 3, on the Defense of Competition and Articles 81 and 82 of the Treaty of the European Community," published in 2009, which includes the aforementioned criteria, but the responses received do not allow the Council to apply the Communication.</w:t>
      </w:r>
    </w:p>
    <w:p>
      <w:r>
        <w:t>The Council, not having information on the turnover, considering that we are dealing with a price recommendation and therefore, a very serious infringement due to its restrictive nature for competition, and also taking into account the content of the DI's proposal in particular, the representativeness of the AEPVJ; the immediate withdrawal of the document from the website after the first action of the DI and the budget of the Association, understands that the punitive and deterrent criteria that must accompany any reproach for infringing the LDC, according to the doctrine of the Supreme Court, must be balanced by the necessary proportionality and, in this case, taking into consideration similar precedents, considers it appropriate to impose a fine of 30,000 euros on the AEPVJ.</w:t>
      </w:r>
    </w:p>
    <w:p>
      <w:r>
        <w:t>In setting this amount for the fine, the Council has taken into account, among other things, that the AEPVJ withdrew the fee documents from the website immediately, but cannot consider it as a mitigating factor since this withdrawal only occurred after the action of the CNC's instructing body.</w:t>
      </w:r>
    </w:p>
    <w:p>
      <w:r>
        <w:t>Additionally, in this case, the Council considers it appropriate to make use of Article 53.2.b) of the LDC, which provides for the imposition of conditions or obligations of behavior, and to counteract the effect that the widespread dissemination on the website had, to impose on the AEPVJ the obligation to publish this Resolution on its website in a place and for a period of time equivalent to that during which the document "Recommended Fees for Appraisal and Valuation Reports" was available.</w:t>
      </w:r>
    </w:p>
    <w:p>
      <w:r>
        <w:t>In virtue of the above, having seen the cited articles and others of general application, the Council of the National Competition Commission,</w:t>
      </w:r>
    </w:p>
    <w:p>
      <w:r>
        <w:t>RESOLVES</w:t>
      </w:r>
    </w:p>
    <w:p>
      <w:r>
        <w:t>FIRST.- To declare the existence of an infringement of Article 1 of Law 15/2007, of July 3, on the Defense of Competition, consisting of a collective price recommendation, for which the Business Association of Expert Appraisal and Judicial Valuations (AEPVJ) is responsible.</w:t>
      </w:r>
    </w:p>
    <w:p>
      <w:r>
        <w:t>SECOND.- To impose a sanction of 30,000€ (Thirty thousand Euros) on the AEPVJ.</w:t>
      </w:r>
    </w:p>
    <w:p>
      <w:r>
        <w:t>THIRD.- To impose on the AEPVJ the obligation to maintain this Resolution on its website in the terms described in Legal Basis FOURTH.</w:t>
      </w:r>
    </w:p>
    <w:p>
      <w:r>
        <w:t>FOURTH.- To urge the Investigation Directorate of the National Competition Commission to monitor compliance with this Resolution.</w:t>
      </w:r>
    </w:p>
    <w:p>
      <w:r>
        <w:t>Communicate this Resolution to the Investigation Directorate and notify the interested party, informing them that it concludes the administrative route,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